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Сводная таблица · Москва · 1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8"/>
          <w:szCs w:val="38"/>
        </w:rPr>
        <w:t xml:space="preserve">Четыре лота</w:t>
      </w:r>
    </w:p>
    <w:p>
      <w:pPr>
        <w:spacing w:after="13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2"/>
          <w:szCs w:val="22"/>
        </w:rPr>
        <w:t xml:space="preserve">Параметры, цены, рекомендации и диагноз по каждому объекту</w:t>
      </w:r>
    </w:p>
    <w:p>
      <w:pPr>
        <w:pBdr>
          <w:bottom w:val="single" w:color="D9D4CB" w:sz="6" w:space="2"/>
        </w:pBd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и цены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200"/>
        <w:gridCol w:w="1100"/>
        <w:gridCol w:w="750"/>
        <w:gridCol w:w="1500"/>
        <w:gridCol w:w="950"/>
        <w:gridCol w:w="1250"/>
        <w:gridCol w:w="1350"/>
        <w:gridCol w:w="1850"/>
        <w:gridCol w:w="1250"/>
        <w:gridCol w:w="1187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м²</w:t>
            </w:r>
          </w:p>
        </w:tc>
        <w:tc>
          <w:tcPr>
            <w:tcW w:type="dxa" w:w="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
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Рекоменд.
цена, млн ₽</w:t>
            </w:r>
          </w:p>
        </w:tc>
        <w:tc>
          <w:tcPr>
            <w:tcW w:type="dxa" w:w="1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Рекоменд.
цена за м²,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Дисконт</w:t>
            </w:r>
          </w:p>
        </w:tc>
        <w:tc>
          <w:tcPr>
            <w:tcW w:type="dxa" w:w="1187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Снижение,
млн ₽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Кутузовский пр-т, 12 · ЦАО, Дорогомилово · м. «Киевская»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95,0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/ 11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1 710 526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145–152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1 526 316–1 600 000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6,5 %–10,8 %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10–18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«Левел Академическая»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Профсоюзная ул., 2/22 · ЮЗАО, Академический · м. «Академическая», 1 мин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79,5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/ 19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отделки, бетон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716 981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53–55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666 667–691 824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3,5 %–7,0 %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2–4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HIGH LIFE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Летниковская ул., 11 · ЮАО, Даниловский · м. «Серпуховская», 4 мин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125,1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/ 32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Полная от застройщика,
без мебели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89–91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711 431–727 418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5,2 %–7,3 %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5–7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«Золотой»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Софийская наб., 18 · ЦАО, Якиманка · м. «Третьяковская», 11 мин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</w:t>
            </w:r>
          </w:p>
        </w:tc>
        <w:tc>
          <w:tcPr>
            <w:tcW w:type="dxa" w:w="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выполнена,
премиум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266–280</w:t>
            </w:r>
          </w:p>
        </w:tc>
        <w:tc>
          <w:tcPr>
            <w:tcW w:type="dxa" w:w="1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3 040 000–3 200 000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0–5,0 %</w:t>
            </w:r>
          </w:p>
        </w:tc>
        <w:tc>
          <w:tcPr>
            <w:tcW w:type="dxa" w:w="11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0–14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4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Дисконт и снижение считаются от текущей цены к границам рекомендованного коридора из соответствующей аналитики. Коридоры выведены разными способами: по «Кутузовскому XII» — от паритета с квартирой-близнецом в том же доме, по «Левел Академической» — от бюджета «под ключ» относительно готовых квартир локации, по HIGH LIFE — от эффективной цены застройщика с учётом беспроцентной рассрочки, по «Золотому» — от надбавки за отделку внутри собственного дома.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Снижение цены оправдано только в одном случае из четырёх.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 «Кутузовскому XII» разрыв с собственным домом измерим и велик — 12,5–18,0 млн ₽ сверх того, что объясняется этажом. По остальным трём лотам цена либо в рынке, либо ниже него, и дисконт стоит последним в списке действий, а не первым.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 лота из четырёх дешевле своей модели или медианы: HIGH LIFE — на 2,5 % ниже регрессии по дому, «Золотой» — на 2,9 % ниже медианы сопоставимых, «Левел Академическая» — в паритете с соседней квартирой с точностью 0,04 %. Проблема продажи в них лежит вне цены.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Разброс цены метра — двадцатикратный, и это разные рынки, а не одна шкала.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716 981 ₽/м² в Академическом районе и 3 200 000 ₽/м² на Софийской набережной сравнивать между собой бессмысленно: у каждого лота своя локация, свой класс и свой круг покупателей.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Диагноз по каждому объекту</w:t>
      </w:r>
    </w:p>
    <w:p>
      <w:pPr>
        <w:spacing w:after="170" w:line="258" w:lineRule="auto"/>
        <w:ind w:right="4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Порядок строк тот же. Колонки отвечают на три вопроса: что представляет собой лот, почему он стоит в экспозиции и что с этим делать.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3100"/>
        <w:gridCol w:w="5300"/>
        <w:gridCol w:w="4987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3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Ключевые особенности</w:t>
            </w:r>
          </w:p>
        </w:tc>
        <w:tc>
          <w:tcPr>
            <w:tcW w:type="dxa" w:w="5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Почему не продаётся</w:t>
            </w:r>
          </w:p>
        </w:tc>
        <w:tc>
          <w:tcPr>
            <w:tcW w:type="dxa" w:w="4987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можно сделать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«Кутузовский XII»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12 лотов в экспозиции. Вторичный рынок. Надбавка за этаж измерена по дому: +2,1…3,1 % за этаж — в малоэтажных домах она в разы выше, чем в башнях.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Единственный из четырёх лотов, где причина действительно в цене. В том же корпусе продаётся квартира-близнец: 95,0 м², дизайнерский ремонт, 2-й этаж — 133,0 млн ₽. Подъём на четыре этажа оценён в 29,5 млн ₽, то есть в 22 % стоимости квартиры; рынком объясняется около половины, оставшиеся 12,5–18,0 млн ₽ обосновать нечем. Лот конкурирует сам с собой: в доме три трёшки около 95 м² с дизайнерским ремонтом — 162,5, 158,0 и 133,0 млн ₽, наш самый дорогой. Метр за 1 710 526 ₽ ушёл в чужой класс: это дороже Capital Towers (1 365 400 ₽) и «Дома Дау» (1 049 519 ₽) и вровень с элитным «Веспером Кутузовским» (1 723 998 ₽), при том что ни парка, ни фитнеса, ни детского сада у дома нет. За те же деньги Москва-Сити даёт больше: Capital Towers, 102,7 м² за 162,2 млн ₽.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Снизить цену — здесь это первый шаг, а не последний. Практический тест: выставить 152,0 млн ₽ и смотреть отклик; на этом уровне лот впервые становится дешевле и соседней квартиры за 158,0 млн ₽, и Capital Towers. Нижняя граница 145,0 млн ₽ — паритет с близнецом с поправкой на этаж, ниже опускаться незачем. Если отклика нет и на 152,0 млн ₽, ограничитель не в цене, а в самом лоте — тогда разбирать планировку, вид и качество ремонта.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«Левел Академическая»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сдан, 30 лотов в экспозиции, из них восемь — такие же трёшки без отделки. Застройщик распродаёт остаток по прайсу. Метро в одной минуте — сильнейшая сторона лота.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Цена внутри дома выставлена точно — и это не помогает. Соседняя трёшка 70,8 м² на 13-м этаже идёт по 706 215 ₽/м²; с поправкой на два этажа (+0,78 % за этаж) это 717 290 ₽/м² против наших 716 981 ₽/м² — паритет с точностью 0,04 %. Проблема в том, что покупатель считает не 57,0, а 68,9 млн ₽: плюс отделка по 150 тыс. ₽/м² и полгода-год работ. По этому бюджету метр стоит 866 981 ₽ — второе место из восьми проектов локации. А локация продаёт готовое дешевле: 81,6 м² с евроремонтом в «Новых Черемушках» за 45,0 млн ₽, 95,3 м² с дизайнерским там же за 63,0 млн ₽, 63,0 м² в «Вавилова 52» за 41,5 млн ₽.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Главный рычаг — не цена, а определённость ремонта. Сейчас покупатель слышит «57,0 млн плюс сколько-то и когда-то». Дизайн-проект с фиксированной сметой подрядчика превращает это в «57,0 + 11,9 млн ₽ и восемь месяцев» — это единственное, что меняет сравнение в нашу пользу, не трогая цену. Сильнее — продать лот уже с выполненным ремонтом: тогда он попадает в одну корзину с готовыми, и минута до метро наконец начинает работать. Торг 53–55 млн ₽ — вторичный шаг.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HIGH LIFE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Квартал из шести башен, 278 лотов; наш корпус K1 сдан, ключи на руках. 830 м² клубных сервисов, которые уже работают, и 751 машиноместо — у готовых конкурентов такого набора нет ни у кого.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Цена не является причиной: регрессия по 278 лотам даёт 98,5 млн ₽, лот просит 96,0 млн ₽ — на 2,5 % ниже модели и дешевле любой другой готовой квартиры 110–140 м² в квартале. Мешает структура сделки, которую частный продавец повторить не может: застройщик даёт беспроцентную рассрочку, а она стоит живых денег — 10,2 млн ₽ на 11 месяцев и 13,9 млн ₽ на 15. С её учётом эффективный метр застройщика 791 080 ₽ против наших 767 386 ₽, и разрыв сжимается с 17 % до 3 %. Плюс состав предложения: на том же 8-м этаже идёт 120,0 м² за 99,0 млн ₽ под ключ, с мебелью и техникой. И 48 лотов в бюджете 86–106 млн ₽ в одном только этом квартале.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Переписать объявление — сейчас в нём четыре строки, ни слова про сданный корпус, отделку, 830 м² инфраструктуры и машиноместо. Продавать скорость входа: заехать можно через месяц, тогда как вторая очередь ждёт 15–17 месяцев, «Монблан» — 18–20, ЖК «А» — 27–29. Машиноместо в заголовок: улица целиком в зоне платной парковки. Цена — последним шагом и сразу на 5–7 млн ₽ (до 89–91 млн ₽), а не тремя уступками по два: движение на 2–3 млн ₽ покупатель не заметит, мы и так дешевле эффективного прайса застройщика на 3 %.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«Золотой»</w:t>
            </w:r>
          </w:p>
        </w:tc>
        <w:tc>
          <w:tcPr>
            <w:tcW w:type="dxa" w:w="3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Де-люкс, дом сдан в I кв. 2023 г., отделка выполнена. Самая маленькая квартира в экспозиции дома: остальные от 162,7 м². Ипотеки и рассрочки в сегменте нет — сделки только за наличные.</w:t>
            </w:r>
          </w:p>
        </w:tc>
        <w:tc>
          <w:tcPr>
            <w:tcW w:type="dxa" w:w="5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Покупателей физически единицы. Профиль «до 100 м² и 200–300 млн ₽» занимает 9,9 % сделок класса делюкс, а весь класс дал 300 сделок за 2025 год на всю Москву: около 30 сделок в год, два-три покупателя в месяц на весь формат. Формат в зазоре между классами: 87,5 м² — размерность премиума (средний бюджет 113 млн ₽), а цена метра — делюкс, где принято брать 100–150 м². На вторичке средний бюджет реальной сделки 150 млн ₽ против 291 млн ₽ у предложения. Вдобавок карточка Циан помечена «Без отделки», хотя отделка выполнена, — из-за этого лот выпадает из выдачи по своей нише, где на всю Москву внутри Садового кольца одиннадцать квартир. Фотографий выполненной отделки нет, только визуализации.</w:t>
            </w:r>
          </w:p>
        </w:tc>
        <w:tc>
          <w:tcPr>
            <w:tcW w:type="dxa" w:w="4987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Снижение цены не требуется — по метру «под ключ» лот 10-й из 14 сопоставимых и на 2,9 % ниже медианы. Порядок: исправить метку отделки в карточке — одна правка возвращает лот в единственный список, который покупатель просматривает целиком; выложить фотографии выполненной отделки вместо визуализаций; переписать текст под сравнение «под ключ». Торг — в коридоре 266–280 млн ₽, и только на встрече с конкретным покупателем. Срок экспозиции в 3,3 года здесь норма, поэтому ожидание без изменений стратегией не является.</w:t>
            </w:r>
          </w:p>
        </w:tc>
      </w:tr>
    </w:tbl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общего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оказалась причиной только один раз из четырёх.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Обычный рецепт «снизить и подождать» сработал бы лишь по «Кутузовскому XII». В трёх остальных случаях лот стоит в рынке или ниже него, а мешают структура предложения, формат подачи и размер спроса.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Дважды главной проблемой оказалось само объявление.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HIGH LIFE текст в четыре строки не упоминает ни сданный корпус, ни отделку от застройщика, ни 830 м² работающей инфраструктуры. В «Золотом» карточка помечена «Без отделки», хотя отделка выполнена, — и лот из-за этого выпадает из выдачи по своей же нише. Обе правки стоят ноль рублей и дают больше любой скидки.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Бетон и готовая квартира — разные товары, и покупатель считает бюджет «под ключ».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работает в обе стороны. В «Левел Академической» лот в бетоне проигрывает: 57,0 млн ₽ превращаются в 68,9 млн ₽ и год работ. В HIGH LIFE и «Золотом» выполненная отделка — главное преимущество, но ни там, ни там она в продаже не используется.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частый конкурент — соседняя квартира в том же доме.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«Кутузовский XII» конкурирует с двумя такими же трёшками своего дома, «Левел Академическая» — с восемью, HIGH LIFE — с 48 лотами своего бюджета в собственном квартале. Внешняя локация почти всегда оказывается менее опасной, чем соседний подъезд.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Чем выше бюджет, тем уже круг покупателей — и тем меньше решает цена.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«Золотом» на профиль лота приходится около 30 сделок в год на всю Москву, а нормальный срок экспозиции в сегменте — 3,3 года. При такой ёмкости спроса скидка не создаёт покупателя; его можно только не упустить, когда он появится.</w:t>
      </w:r>
    </w:p>
    <w:p>
      <w:pPr>
        <w:spacing w:after="58" w:line="252" w:lineRule="auto"/>
        <w:ind w:left="170" w:right="420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Общий вывод по четырём объектам: прежде чем трогать цену, стоит проверить, правильно ли лот описан, в правильный ли список он попадает и с чем именно его сравнивает покупатель. В трёх случаях из четырёх это и оказалось решением.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9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4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Сводка составлена 01.08.2026 по четырём аналитикам, подготовленным на основе выгрузок Циан от 30–31.07.2026, данных Яндекс Недвижимости, сайтов застройщиков и опубликованных отчётов консультантов рынка. Оценки носят справочный характер и не являются офертой или отчётом об оценке.</w:t>
      </w:r>
    </w:p>
    <w:sectPr>
      <w:footerReference w:type="default" r:id="rId7"/>
      <w:pgSz w:w="16838" w:h="11906" w:orient="landscape"/>
      <w:pgMar w:top="793" w:right="850" w:bottom="793" w:left="850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15137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Сводная таблица по четырём лотам · 01.08.2026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Сводная таблица по четырём объектам</dc:title>
  <dc:creator>Аналитика по лотам</dc:creator>
  <dc:description>Параметры, цены, рекомендации и диагноз по четырём проанализированным квартирам</dc:description>
  <cp:lastModifiedBy>Un-named</cp:lastModifiedBy>
  <cp:revision>1</cp:revision>
  <dcterms:created xsi:type="dcterms:W3CDTF">2026-08-02T09:17:14.772Z</dcterms:created>
  <dcterms:modified xsi:type="dcterms:W3CDTF">2026-08-02T09:17:14.772Z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