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mbria" w:cs="Cambria" w:eastAsia="Cambria" w:hAnsi="Cambria"/>
          <w:b/>
          <w:bCs/>
          <w:color w:val="1F2A38"/>
          <w:sz w:val="38"/>
          <w:szCs w:val="38"/>
        </w:rPr>
        <w:t xml:space="preserve">Анализ максимальной арендной платы</w:t>
      </w:r>
    </w:p>
    <w:p>
      <w:pPr>
        <w:spacing w:after="60"/>
      </w:pPr>
      <w:r>
        <w:rPr>
          <w:rFonts w:ascii="Cambria" w:cs="Cambria" w:eastAsia="Cambria" w:hAnsi="Cambria"/>
          <w:color w:val="31537D"/>
          <w:sz w:val="24"/>
          <w:szCs w:val="24"/>
        </w:rPr>
        <w:t xml:space="preserve">Amsterdamsestraatweg 268, 3551 CS Utrecht — сравнение расчётов Huurprijscheck</w:t>
      </w:r>
    </w:p>
    <w:p>
      <w:pPr>
        <w:pBdr>
          <w:bottom w:val="single" w:color="3A3A3A" w:sz="6" w:space="8"/>
        </w:pBdr>
        <w:spacing w:after="300"/>
      </w:pPr>
      <w:r>
        <w:rPr>
          <w:color w:val="6B6B6B"/>
          <w:sz w:val="20"/>
          <w:szCs w:val="20"/>
        </w:rPr>
        <w:t xml:space="preserve">Расчёты: 27.08.2026, тарифы 2026 года · Правила начисления сверены с beleidsboek Huurcommissie (редакция января 2026 года)</w:t>
      </w:r>
    </w:p>
    <w:p>
      <w:pPr>
        <w:pStyle w:val="Heading1"/>
        <w:spacing w:after="180" w:before="380"/>
      </w:pPr>
      <w:r>
        <w:rPr>
          <w:rFonts w:ascii="Cambria" w:cs="Cambria" w:eastAsia="Cambria" w:hAnsi="Cambria"/>
          <w:b/>
          <w:bCs/>
          <w:color w:val="1F2A38"/>
          <w:sz w:val="27"/>
          <w:szCs w:val="27"/>
        </w:rPr>
        <w:t xml:space="preserve">Основные выводы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t xml:space="preserve">Энергосертификат влияет на максимальную аренду существенно сильнее, чем WOZ-стоимость. Переход с класса C на класс B добавляет 12 баллов и </w:t>
      </w:r>
      <w:r>
        <w:rPr>
          <w:b/>
          <w:bCs/>
        </w:rPr>
        <w:t xml:space="preserve">€ 82,32 в месяц (+9,9 %)</w:t>
      </w:r>
      <w:r>
        <w:t xml:space="preserve">; рост WOZ с € 210 000 до € 230 000 — 3 балла и </w:t>
      </w:r>
      <w:r>
        <w:rPr>
          <w:b/>
          <w:bCs/>
        </w:rPr>
        <w:t xml:space="preserve">€ 20,55 (+2,5 %)</w:t>
      </w:r>
      <w:r>
        <w:t xml:space="preserve">. Для компенсации одного шага сертификата WOZ должна была бы вырасти примерно на € 80 000.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t xml:space="preserve">Во всех рассмотренных сценариях объект остаётся в социальном (регулируемом) сегменте: 128–140 баллов при границе сегмента 143 балла. Максимальная аренда — от € 829,94 до € 912,26 в месяц.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t xml:space="preserve">Расчёты арифметически корректны. Правила начисления сверены с политикой Huurcommissie; расхождений не выявлено (раздел «Проверка расчётов»).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t xml:space="preserve">До получения WOZ-оценки (2027 год) при официальной проверке применяется 85 % стоимости из отчёта сертифицированного оценщика, а при отсутствии отчёта — минимальная WOZ € 77 582, что означало бы снижение потолка примерно на € 140 в месяц. Отчёт целесообразно подготовить до сдачи объекта.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t xml:space="preserve">Наибольший потенциал повышения дают улучшение сертификата и оформление чердака. Реалистичный максимум — около € 974–1 022 в месяц (раздел «Меры по увеличению максимальной аренды»).</w:t>
      </w:r>
    </w:p>
    <w:p>
      <w:pPr>
        <w:pStyle w:val="Heading1"/>
        <w:spacing w:after="180" w:before="380"/>
      </w:pPr>
      <w:r>
        <w:rPr>
          <w:rFonts w:ascii="Cambria" w:cs="Cambria" w:eastAsia="Cambria" w:hAnsi="Cambria"/>
          <w:b/>
          <w:bCs/>
          <w:color w:val="1F2A38"/>
          <w:sz w:val="27"/>
          <w:szCs w:val="27"/>
        </w:rPr>
        <w:t xml:space="preserve">Исходные данные</w:t>
      </w:r>
    </w:p>
    <w:p>
      <w:pPr>
        <w:spacing w:after="160" w:line="300"/>
      </w:pPr>
      <w:r>
        <w:t xml:space="preserve">Максимальная аренда определяется государственной балльной системой WWS: баллы начисляются за площадь, оснащение, энергоэффективность и WOZ-стоимость, после чего сумма по официальной таблице переводится в предельную месячную аренду. В таблице 2026 года один балл соответствует примерно € 6,86 в месяц. До 143 баллов жильё относится к социальному сегменту, со 144 до 186 — к среднему (middenhuur, также с потолком), от 187 баллов регулирование не применяется.</w:t>
      </w:r>
    </w:p>
    <w:p>
      <w:pPr>
        <w:spacing w:after="160" w:line="300"/>
      </w:pPr>
      <w:r>
        <w:t xml:space="preserve">Объект — самостоятельное жильё типа eengezinswoning: гостиная с открытой кухней (20,4 м²), спальня (9,3 м²), ванная (2,7 м²), чердачная кладовая без стационарной лестницы (13 м²), терраса на крыше (9,6 м²). Выполнены три расчёта в онлайн-инструменте Huurprijscheck; между ними менялись только класс сертификата (B/C) и WOZ-стоимость (€ 210 000 / € 230 000). Остальные характеристики неизменны, их суммарная оценка — </w:t>
      </w:r>
      <w:r>
        <w:rPr>
          <w:b/>
          <w:bCs/>
        </w:rPr>
        <w:t xml:space="preserve">72,75 балла</w:t>
      </w:r>
      <w:r>
        <w:t xml:space="preserve">. Итог каждого сценария равен 72,75 плюс баллы за WOZ и сертификат, с округлением до целого (0,5 и выше — вверх).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2400"/>
        <w:gridCol w:w="1200"/>
      </w:tblGrid>
      <w:tr>
        <w:trPr>
          <w:tblHeader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Постоянная часть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Расчёт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Баллы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Комнаты: гостиная с открытой кухней 20,4 м², спальня 9,28 м², ванная 2,66 м²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32,34 → 32 м² × 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32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Чердачная кладовая 13 м² без стационарной лестницы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13 × 0,75 − 5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4,75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Отопление (отапливаемая открытая кухня считается отдельной комнатой)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 комнаты × 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8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Кухня: столешница длиннее 2 м и техника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 + 5,5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12,50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Санузел: душ, туалет, раковина и оснащение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 + 3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10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Терраса на крыше 9,62 м²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 + 0,35 × 10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5,50</w:t>
            </w:r>
          </w:p>
        </w:tc>
      </w:tr>
      <w:tr>
        <w:tc>
          <w:tcPr>
            <w:tcW w:type="dxa" w:w="4700"/>
            <w:tcBorders>
              <w:top w:val="single" w:color="3A3A3A" w:sz="1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Итого</w:t>
            </w:r>
          </w:p>
        </w:tc>
        <w:tc>
          <w:tcPr>
            <w:tcW w:type="dxa" w:w="2400"/>
            <w:tcBorders>
              <w:top w:val="single" w:color="3A3A3A" w:sz="1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200"/>
            <w:tcBorders>
              <w:top w:val="single" w:color="3A3A3A" w:sz="1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72,75</w:t>
            </w:r>
          </w:p>
        </w:tc>
      </w:tr>
    </w:tbl>
    <w:p>
      <w:pPr>
        <w:pStyle w:val="Heading1"/>
        <w:spacing w:after="180" w:before="380"/>
      </w:pPr>
      <w:r>
        <w:rPr>
          <w:rFonts w:ascii="Cambria" w:cs="Cambria" w:eastAsia="Cambria" w:hAnsi="Cambria"/>
          <w:b/>
          <w:bCs/>
          <w:color w:val="1F2A38"/>
          <w:sz w:val="27"/>
          <w:szCs w:val="27"/>
        </w:rPr>
        <w:t xml:space="preserve">Результаты расчётов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42"/>
        <w:gridCol w:w="1842"/>
        <w:gridCol w:w="1842"/>
      </w:tblGrid>
      <w:tr>
        <w:trPr>
          <w:tblHeader/>
        </w:trP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/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Расчёт 1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Расчёт 2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Расчёт 3</w:t>
            </w:r>
          </w:p>
        </w:tc>
      </w:tr>
      <w:t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Сертификат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</w:t>
            </w:r>
          </w:p>
        </w:tc>
      </w:tr>
      <w:t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WOZ-стоимость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€ 230 000</w:t>
            </w:r>
          </w:p>
        </w:tc>
      </w:tr>
      <w:t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Баллы за сертификат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34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22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22</w:t>
            </w:r>
          </w:p>
        </w:tc>
      </w:tr>
      <w:t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Баллы за WOZ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33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33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36</w:t>
            </w:r>
          </w:p>
        </w:tc>
      </w:tr>
      <w:t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Постоянная часть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72,75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72,75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72,75</w:t>
            </w:r>
          </w:p>
        </w:tc>
      </w:tr>
      <w:tr>
        <w:tc>
          <w:tcPr>
            <w:tcW w:type="dxa" w:w="3500"/>
            <w:tcBorders>
              <w:top w:val="single" w:color="3A3A3A" w:sz="1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Итого баллов</w:t>
            </w:r>
          </w:p>
        </w:tc>
        <w:tc>
          <w:tcPr>
            <w:tcW w:type="dxa" w:w="1842"/>
            <w:tcBorders>
              <w:top w:val="single" w:color="3A3A3A" w:sz="1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140</w:t>
            </w:r>
          </w:p>
        </w:tc>
        <w:tc>
          <w:tcPr>
            <w:tcW w:type="dxa" w:w="1842"/>
            <w:tcBorders>
              <w:top w:val="single" w:color="3A3A3A" w:sz="1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128</w:t>
            </w:r>
          </w:p>
        </w:tc>
        <w:tc>
          <w:tcPr>
            <w:tcW w:type="dxa" w:w="1842"/>
            <w:tcBorders>
              <w:top w:val="single" w:color="3A3A3A" w:sz="1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131</w:t>
            </w:r>
          </w:p>
        </w:tc>
      </w:tr>
      <w:tr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Максимальная аренда, в месяц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€ 912,26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€ 829,94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€ 850,49</w:t>
            </w:r>
          </w:p>
        </w:tc>
      </w:tr>
      <w:t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В год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€ 10 947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€ 9 959</w:t>
            </w:r>
          </w:p>
        </w:tc>
        <w:tc>
          <w:tcPr>
            <w:tcW w:type="dxa" w:w="18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€ 10 206</w:t>
            </w:r>
          </w:p>
        </w:tc>
      </w:tr>
    </w:tbl>
    <w:p>
      <w:pPr>
        <w:spacing w:after="160" w:before="160"/>
      </w:pPr>
      <w:r>
        <w:t xml:space="preserve">Разница между расчётами 1 и 2 отражает эффект сертификата: 12 баллов и € 82,32 в месяц, около € 990 в год. Разница между расчётами 2 и 3 — эффект увеличения WOZ на € 20 000: 3 балла и € 20,55 в месяц. Стоимость одного балла в обоих случаях составляет € 6,85–6,86, то есть по деньгам эффект сертификата ровно вчетверо больше.</w:t>
      </w:r>
    </w:p>
    <w:p>
      <w:pPr>
        <w:pStyle w:val="Heading1"/>
        <w:spacing w:after="180" w:before="380"/>
      </w:pPr>
      <w:r>
        <w:rPr>
          <w:rFonts w:ascii="Cambria" w:cs="Cambria" w:eastAsia="Cambria" w:hAnsi="Cambria"/>
          <w:b/>
          <w:bCs/>
          <w:color w:val="1F2A38"/>
          <w:sz w:val="27"/>
          <w:szCs w:val="27"/>
        </w:rPr>
        <w:t xml:space="preserve">Проверка расчётов</w:t>
      </w:r>
    </w:p>
    <w:p>
      <w:pPr>
        <w:spacing w:after="160" w:line="300"/>
      </w:pPr>
      <w:r>
        <w:t xml:space="preserve">Проверка выполнена в два этапа: пересчёт всех позиций по правилам WWS и сверка самих правил с политикой Huurcommissie — beleidsboek «Waarderingsstelsel zelfstandige woonruimte» (действующая редакция от января 2026 года). Этим же документом руководствуются инспекторы комиссии при официальной оценке.</w:t>
      </w:r>
    </w:p>
    <w:p>
      <w:pPr>
        <w:spacing w:after="160" w:line="300"/>
      </w:pPr>
      <w:r>
        <w:t xml:space="preserve">Постоянная часть. Площадь комнат 32,34 м² округляется до 32 м² и даёт 32 балла, по баллу за метр. Кладовая: 13 × 0,75 = 9,75 минус 5 за отсутствие стационарной лестницы — 4,75; вычет прописан в политике дословно. Отопление: по два балла за каждую отапливаемую комнату, при этом отапливаемая открытая кухня учитывается как отдельная комната, отсюда 4 + 2 + 2 = 8. Кухня: 7 баллов за столешницу длиннее двух метров плюс 5,5 за технику (лимит для техники равен баллам столешницы, то есть 7). Санузел: душ 4, туалет 2, раковина 1, ещё 3 за оснащение при лимите, равном баллам душа и ванны. Терраса: 2 + 0,35 × 10 = 5,5; в политике приведён пример с теми же десятью метрами и тем же результатом. Сумма — 72,75.</w:t>
      </w:r>
    </w:p>
    <w:p>
      <w:pPr>
        <w:spacing w:after="160" w:line="300"/>
      </w:pPr>
      <w:r>
        <w:t xml:space="preserve">Сертификат. Таблица для домов типа eengezinswoning: класс B — 34 балла, класс C — 22. В расчётах указаны эти же значения.</w:t>
      </w:r>
    </w:p>
    <w:p>
      <w:pPr>
        <w:spacing w:after="160" w:line="300"/>
      </w:pPr>
      <w:r>
        <w:t xml:space="preserve">WOZ. Баллы определяются по официальной формуле из двух частей: стоимость делится на € 15 329, и отдельно стоимость на квадратный метр (при 45 м² комнат и кладовой) делится на € 242. Для € 210 000: 13,70 + 19,28 = 32,98, после округления 33. Для € 230 000: 36,12, округлённо 36. Значения совпадают с расчётами точно.</w:t>
      </w:r>
    </w:p>
    <w:p>
      <w:pPr>
        <w:spacing w:after="160" w:line="300"/>
      </w:pPr>
      <w:r>
        <w:t xml:space="preserve">Суммы аренды. Три результата лежат на одной прямой € 6,86 × баллы − € 48,14 с отклонением не более трёх центов. Это подтверждает, что все варианты посчитаны по единой таблице 2026 года, и позволяет корректно оценивать промежуточные сценарии.</w:t>
      </w:r>
    </w:p>
    <w:p>
      <w:pPr>
        <w:pStyle w:val="Heading1"/>
        <w:spacing w:after="180" w:before="380"/>
      </w:pPr>
      <w:r>
        <w:rPr>
          <w:rFonts w:ascii="Cambria" w:cs="Cambria" w:eastAsia="Cambria" w:hAnsi="Cambria"/>
          <w:b/>
          <w:bCs/>
          <w:color w:val="1F2A38"/>
          <w:sz w:val="27"/>
          <w:szCs w:val="27"/>
        </w:rPr>
        <w:t xml:space="preserve">Влияние сертификата и WOZ-стоимости</w:t>
      </w:r>
    </w:p>
    <w:p>
      <w:pPr>
        <w:spacing w:after="160" w:line="300"/>
      </w:pPr>
      <w:r>
        <w:t xml:space="preserve">Шкала сертификатов дискретна: один шаг с C на B добавляет сразу 12 баллов. WOZ конвертируется в баллы постепенно, примерно по баллу на каждые € 6 700 стоимости, поэтому для эффекта, равного одному шагу сертификата, потребовался бы рост оценки на € 80 000 — далеко за пределами реалистичного разброса. Дополнительно следует учитывать, что делители формулы WOZ ежегодно индексируются вместе со средним ростом цен по стране: общий рыночный рост стоимости баллов практически не добавляет, значимо лишь отклонение конкретного объекта от среднего.</w:t>
      </w:r>
    </w:p>
    <w:p>
      <w:pPr>
        <w:spacing w:after="160" w:line="300"/>
      </w:pPr>
      <w:r>
        <w:t xml:space="preserve">Для планирования достаточно консервативного значения € 210 000 — ошибка не превысит € 20 в месяц. Основная неопределённость сосредоточена в классе сертификата (порядка € 1 000 в год между B и C); её целесообразно снимать в первую очередь, заказав официальное энергообследование.</w:t>
      </w:r>
    </w:p>
    <w:p>
      <w:pPr>
        <w:pStyle w:val="Heading2"/>
        <w:spacing w:after="140" w:before="260"/>
      </w:pPr>
      <w:r>
        <w:rPr>
          <w:rFonts w:ascii="Cambria" w:cs="Cambria" w:eastAsia="Cambria" w:hAnsi="Cambria"/>
          <w:b/>
          <w:bCs/>
          <w:color w:val="31537D"/>
          <w:sz w:val="23"/>
          <w:szCs w:val="23"/>
        </w:rPr>
        <w:t xml:space="preserve">Шкала сертификатов (eengezinswoning)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4326"/>
      </w:tblGrid>
      <w:tr>
        <w:trPr>
          <w:tblHeader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Класс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Баллы</w:t>
            </w:r>
          </w:p>
        </w:tc>
        <w:tc>
          <w:tcPr>
            <w:tcW w:type="dxa" w:w="4326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Относительно класса C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A+ … A++++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47 … 62</w:t>
            </w:r>
          </w:p>
        </w:tc>
        <w:tc>
          <w:tcPr>
            <w:tcW w:type="dxa" w:w="432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от +€ 171 до +€ 274 в месяц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41</w:t>
            </w:r>
          </w:p>
        </w:tc>
        <w:tc>
          <w:tcPr>
            <w:tcW w:type="dxa" w:w="432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+19 баллов, около +€ 130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34</w:t>
            </w:r>
          </w:p>
        </w:tc>
        <w:tc>
          <w:tcPr>
            <w:tcW w:type="dxa" w:w="432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+12 баллов, +€ 82,32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22</w:t>
            </w:r>
          </w:p>
        </w:tc>
        <w:tc>
          <w:tcPr>
            <w:tcW w:type="dxa" w:w="432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база сравнения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432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−8 баллов, около −€ 55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 / F / G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−4 / −9 / −15</w:t>
            </w:r>
          </w:p>
        </w:tc>
        <w:tc>
          <w:tcPr>
            <w:tcW w:type="dxa" w:w="432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от −26 до −37 баллов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Без сертификата, дом 1976 года или старше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−15</w:t>
            </w:r>
          </w:p>
        </w:tc>
        <w:tc>
          <w:tcPr>
            <w:tcW w:type="dxa" w:w="4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минус 37 баллов, около −€ 250</w:t>
            </w:r>
          </w:p>
        </w:tc>
      </w:tr>
    </w:tbl>
    <w:p>
      <w:pPr>
        <w:spacing w:after="160" w:before="60" w:line="276"/>
      </w:pPr>
      <w:r>
        <w:rPr>
          <w:i/>
          <w:iCs/>
          <w:color w:val="6B6B6B"/>
          <w:sz w:val="19"/>
          <w:szCs w:val="19"/>
        </w:rPr>
        <w:t xml:space="preserve">При отсутствии действующего зарегистрированного сертификата баллы назначаются по году постройки: 2002 и позже — 41, 2000–2001 — 34, 1992–1999 — 22, 1984–1991 — 14, 1979–1983 — −4, 1977–1978 — −9, 1976 и старше — −15.</w:t>
      </w:r>
    </w:p>
    <w:p>
      <w:pPr>
        <w:pStyle w:val="Heading1"/>
        <w:spacing w:after="180" w:before="380"/>
      </w:pPr>
      <w:r>
        <w:rPr>
          <w:rFonts w:ascii="Cambria" w:cs="Cambria" w:eastAsia="Cambria" w:hAnsi="Cambria"/>
          <w:b/>
          <w:bCs/>
          <w:color w:val="1F2A38"/>
          <w:sz w:val="27"/>
          <w:szCs w:val="27"/>
        </w:rPr>
        <w:t xml:space="preserve">Дополнительные сценарии</w:t>
      </w:r>
    </w:p>
    <w:p>
      <w:pPr>
        <w:spacing w:after="160" w:line="300"/>
      </w:pPr>
      <w:r>
        <w:t xml:space="preserve">Строки с пометкой «расчёт» — официальные результаты Huurprijscheck. Остальные получены по той же схеме: баллы точные, аренда оценена по € 6,86 за балл и помечена знаком ≈.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750"/>
        <w:gridCol w:w="1150"/>
        <w:gridCol w:w="2000"/>
        <w:gridCol w:w="1776"/>
      </w:tblGrid>
      <w:tr>
        <w:trPr>
          <w:tblHeader/>
        </w:trPr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Сертификат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WOZ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Баллы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В месяц</w:t>
            </w:r>
          </w:p>
        </w:tc>
        <w:tc>
          <w:tcPr>
            <w:tcW w:type="dxa" w:w="1776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Сегмент</w:t>
            </w:r>
          </w:p>
        </w:tc>
      </w:tr>
      <w:tr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Без сертификата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91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€ 580</w:t>
            </w:r>
          </w:p>
        </w:tc>
        <w:tc>
          <w:tcPr>
            <w:tcW w:type="dxa" w:w="177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социальный</w:t>
            </w:r>
          </w:p>
        </w:tc>
      </w:tr>
      <w:tr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120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€ 775</w:t>
            </w:r>
          </w:p>
        </w:tc>
        <w:tc>
          <w:tcPr>
            <w:tcW w:type="dxa" w:w="177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социальный</w:t>
            </w:r>
          </w:p>
        </w:tc>
      </w:tr>
      <w:tr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C — расчёт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128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€ 829,94</w:t>
            </w:r>
          </w:p>
        </w:tc>
        <w:tc>
          <w:tcPr>
            <w:tcW w:type="dxa" w:w="177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социальный</w:t>
            </w:r>
          </w:p>
        </w:tc>
      </w:tr>
      <w:tr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C — расчёт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€ 230 000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131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€ 850,49</w:t>
            </w:r>
          </w:p>
        </w:tc>
        <w:tc>
          <w:tcPr>
            <w:tcW w:type="dxa" w:w="177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социальный</w:t>
            </w:r>
          </w:p>
        </w:tc>
      </w:tr>
      <w:tr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B — расчёт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140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€ 912,26</w:t>
            </w:r>
          </w:p>
        </w:tc>
        <w:tc>
          <w:tcPr>
            <w:tcW w:type="dxa" w:w="177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социальный</w:t>
            </w:r>
          </w:p>
        </w:tc>
      </w:tr>
      <w:tr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€ 230 000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143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€ 933</w:t>
            </w:r>
          </w:p>
        </w:tc>
        <w:tc>
          <w:tcPr>
            <w:tcW w:type="dxa" w:w="177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социальный, граница</w:t>
            </w:r>
          </w:p>
        </w:tc>
      </w:tr>
      <w:tr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€ 210 000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147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€ 960</w:t>
            </w:r>
          </w:p>
        </w:tc>
        <w:tc>
          <w:tcPr>
            <w:tcW w:type="dxa" w:w="177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средний</w:t>
            </w:r>
          </w:p>
        </w:tc>
      </w:tr>
      <w:tr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17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€ 230 000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 € 981</w:t>
            </w:r>
          </w:p>
        </w:tc>
        <w:tc>
          <w:tcPr>
            <w:tcW w:type="dxa" w:w="17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средний</w:t>
            </w:r>
          </w:p>
        </w:tc>
      </w:tr>
    </w:tbl>
    <w:p>
      <w:pPr>
        <w:spacing w:before="160"/>
      </w:pPr>
      <w:r>
        <w:t xml:space="preserve">Пересечение границы 143 баллов не создаёт скачка: потолок продолжает расти по той же таблице, меняются отдельные правила, в частности порядок ежегодной индексации. Регулирование заканчивается на 187 баллах; для данного объекта эта отметка недостижима — максимальная комбинация даёт около 156.</w:t>
      </w:r>
    </w:p>
    <w:p>
      <w:pPr>
        <w:pStyle w:val="Heading1"/>
        <w:spacing w:after="180" w:before="380"/>
      </w:pPr>
      <w:r>
        <w:rPr>
          <w:rFonts w:ascii="Cambria" w:cs="Cambria" w:eastAsia="Cambria" w:hAnsi="Cambria"/>
          <w:b/>
          <w:bCs/>
          <w:color w:val="1F2A38"/>
          <w:sz w:val="27"/>
          <w:szCs w:val="27"/>
        </w:rPr>
        <w:t xml:space="preserve">Меры по увеличению максимальной аренды</w:t>
      </w:r>
    </w:p>
    <w:p>
      <w:pPr>
        <w:spacing w:after="160" w:line="300"/>
      </w:pPr>
      <w:r>
        <w:t xml:space="preserve">Сначала два обязательных условия: их невыполнение снижает потолок сильнее, чем любые улучшения его поднимают.</w:t>
      </w:r>
    </w:p>
    <w:p>
      <w:pPr>
        <w:pStyle w:val="Heading2"/>
        <w:spacing w:after="140" w:before="260"/>
      </w:pPr>
      <w:r>
        <w:rPr>
          <w:rFonts w:ascii="Cambria" w:cs="Cambria" w:eastAsia="Cambria" w:hAnsi="Cambria"/>
          <w:b/>
          <w:bCs/>
          <w:color w:val="31537D"/>
          <w:sz w:val="23"/>
          <w:szCs w:val="23"/>
        </w:rPr>
        <w:t xml:space="preserve">Регистрация сертификата</w:t>
      </w:r>
    </w:p>
    <w:p>
      <w:pPr>
        <w:spacing w:after="160" w:line="300"/>
      </w:pPr>
      <w:r>
        <w:t xml:space="preserve">Учитывается только действующий сертификат в официальном реестре. При его отсутствии баллы назначаются по году постройки; для дома 1976 года или старше это −15 баллов, уровень класса G, и потолок около € 580 в месяц. Разница с зарегистрированным сертификатом C составляет порядка € 250 в месяц.</w:t>
      </w:r>
    </w:p>
    <w:p>
      <w:pPr>
        <w:pStyle w:val="Heading2"/>
        <w:spacing w:after="140" w:before="260"/>
      </w:pPr>
      <w:r>
        <w:rPr>
          <w:rFonts w:ascii="Cambria" w:cs="Cambria" w:eastAsia="Cambria" w:hAnsi="Cambria"/>
          <w:b/>
          <w:bCs/>
          <w:color w:val="31537D"/>
          <w:sz w:val="23"/>
          <w:szCs w:val="23"/>
        </w:rPr>
        <w:t xml:space="preserve">Оценочный отчёт до появления WOZ</w:t>
      </w:r>
    </w:p>
    <w:p>
      <w:pPr>
        <w:spacing w:after="160" w:line="300"/>
      </w:pPr>
      <w:r>
        <w:t xml:space="preserve">До 2027 года официальной WOZ-оценки не существует. На этот случай комиссия принимает 85 % стоимости из отчёта сертифицированного оценщика (Register-Taxateur); предоставить отчёт обязан арендодатель. При отсутствии отчёта применяется минимальная WOZ € 77 582 — это около 12 баллов вместо 33 и снижение потолка более чем на € 140 в месяц. Сопоставление с аналогичными квартирами с 2024 года не допускается. Если объект сдаётся до получения WOZ-оценки, отчёт должен быть подготовлен заранее.</w:t>
      </w:r>
    </w:p>
    <w:p>
      <w:pPr>
        <w:pStyle w:val="Heading2"/>
        <w:spacing w:after="140" w:before="260"/>
      </w:pPr>
      <w:r>
        <w:rPr>
          <w:rFonts w:ascii="Cambria" w:cs="Cambria" w:eastAsia="Cambria" w:hAnsi="Cambria"/>
          <w:b/>
          <w:bCs/>
          <w:color w:val="31537D"/>
          <w:sz w:val="23"/>
          <w:szCs w:val="23"/>
        </w:rPr>
        <w:t xml:space="preserve">Меры повышения, по убыванию эффекта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250"/>
        <w:gridCol w:w="1500"/>
        <w:gridCol w:w="3176"/>
      </w:tblGrid>
      <w:tr>
        <w:trPr>
          <w:tblHeader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Мера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Баллы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В месяц</w:t>
            </w:r>
          </w:p>
        </w:tc>
        <w:tc>
          <w:tcPr>
            <w:tcW w:type="dxa" w:w="3176"/>
            <w:tcBorders>
              <w:top w:val="none" w:color="FFFFFF" w:sz="0"/>
              <w:left w:val="none" w:color="FFFFFF" w:sz="0"/>
              <w:bottom w:val="single" w:color="3A3A3A" w:sz="1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color w:val="1F2A38"/>
                <w:sz w:val="20"/>
                <w:szCs w:val="20"/>
              </w:rPr>
              <w:t xml:space="preserve">Примечания</w:t>
            </w:r>
          </w:p>
        </w:tc>
      </w:tr>
      <w:t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Сертификат C → B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+€ 82</w:t>
            </w:r>
          </w:p>
        </w:tc>
        <w:tc>
          <w:tcPr>
            <w:tcW w:type="dxa" w:w="317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Состав работ определяется энергообследованием; как правило, утепление, остекление, система отопления.</w:t>
            </w:r>
          </w:p>
        </w:tc>
      </w:tr>
      <w:t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Сертификат B → A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ещё +7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≈ +€ 48</w:t>
            </w:r>
          </w:p>
        </w:tc>
        <w:tc>
          <w:tcPr>
            <w:tcW w:type="dxa" w:w="317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Суммарно от C до A — 19 баллов и около € 130. Классы выше A для дома старой постройки труднодостижимы.</w:t>
            </w:r>
          </w:p>
        </w:tc>
      </w:tr>
      <w:t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Переоборудование чердака в жилую комнату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+8,25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≈ +€ 57</w:t>
            </w:r>
          </w:p>
        </w:tc>
        <w:tc>
          <w:tcPr>
            <w:tcW w:type="dxa" w:w="317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Требования: стационарная лестница, обшитая кровля, окно от 0,5 м², вентиляция, розетка и освещение, высота 2,10 м минимум над половиной площади. При отоплении комнаты — ещё 2 балла (итого +10,25, около +€ 70).</w:t>
            </w:r>
          </w:p>
        </w:tc>
      </w:tr>
      <w:t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Стационарная лестница на чердак без переоборудования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≈ +€ 34</w:t>
            </w:r>
          </w:p>
        </w:tc>
        <w:tc>
          <w:tcPr>
            <w:tcW w:type="dxa" w:w="317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Снимает вычет за приставную лестницу. С предыдущей мерой не суммируется.</w:t>
            </w:r>
          </w:p>
        </w:tc>
      </w:tr>
      <w:t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Проверка статуса памятника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+€ 46…320</w:t>
            </w:r>
          </w:p>
        </w:tc>
        <w:tc>
          <w:tcPr>
            <w:tcW w:type="dxa" w:w="317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Надбавка к потолку: национальный памятник +35 %, муниципальный или провинциальный +15 %, охраняемый городской ансамбль при постройке до 1965 года +5 %. Надбавки между собой не сочетаются; статус подтверждает арендодатель. Для памятников штрафные баллы за классы E–G не применяются.</w:t>
            </w:r>
          </w:p>
        </w:tc>
      </w:tr>
      <w:t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Контроль WOZ-оценки 2027 года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+3 за € 20 000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+€ 20,5</w:t>
            </w:r>
          </w:p>
        </w:tc>
        <w:tc>
          <w:tcPr>
            <w:tcW w:type="dxa" w:w="3176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Возражение (bezwaar) возможно и в сторону повышения: высокая WOZ увеличивает потолок.</w:t>
            </w:r>
          </w:p>
        </w:tc>
      </w:tr>
      <w:t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Встроенная посудомоечная машина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+1,5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righ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≈ +€ 10</w:t>
            </w:r>
          </w:p>
        </w:tc>
        <w:tc>
          <w:tcPr>
            <w:tcW w:type="dxa" w:w="31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60"/>
              <w:bottom w:type="dxa" w:w="9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Доводит баллы за кухонную технику до лимита. С учётом округления итога прибавка может быть меньше.</w:t>
            </w:r>
          </w:p>
        </w:tc>
      </w:tr>
    </w:tbl>
    <w:p>
      <w:pPr>
        <w:spacing w:before="160"/>
      </w:pPr>
      <w:r>
        <w:t xml:space="preserve">Мелкие улучшения санузла дают доли балла, их вклад несуществен; установка ванны или второго туалета в помещении 2,66 м² невозможна. Комбинация мер: сертификат B, стационарная лестница и посудомоечная машина при WOZ € 230 000 дают 149 баллов и около € 974 в месяц; с сертификатом A — около 156 баллов и € 1 022, не считая возможной надбавки за статус памятника.</w:t>
      </w:r>
    </w:p>
    <w:p>
      <w:pPr>
        <w:spacing w:after="160" w:line="300"/>
      </w:pPr>
      <w:r>
        <w:t xml:space="preserve">Дополнительный доход вне балльной системы — сдача с мебелью: плата за неё взимается сверх регулируемой аренды, ориентир комиссии — около 20 % стоимости обстановки в год. Сервисные расходы (коммунальные услуги, интернет) перекладываются по фактической стоимости.</w:t>
      </w:r>
    </w:p>
    <w:p>
      <w:pPr>
        <w:pStyle w:val="Heading1"/>
        <w:spacing w:after="180" w:before="380"/>
      </w:pPr>
      <w:r>
        <w:rPr>
          <w:rFonts w:ascii="Cambria" w:cs="Cambria" w:eastAsia="Cambria" w:hAnsi="Cambria"/>
          <w:b/>
          <w:bCs/>
          <w:color w:val="1F2A38"/>
          <w:sz w:val="27"/>
          <w:szCs w:val="27"/>
        </w:rPr>
        <w:t xml:space="preserve">Примечания</w:t>
      </w:r>
    </w:p>
    <w:p>
      <w:pPr>
        <w:spacing w:after="160" w:line="300"/>
      </w:pPr>
      <w:r>
        <w:t xml:space="preserve">Huurprijscheck носит ориентировочный характер: при официальной процедуре пунктовку составляет инспектор комиссии. Суммы со знаком ≈ рассчитаны по линейной зависимости, выведенной из трёх официальных результатов; точные значения определяются таблицей соответствующего года. Делители формулы WOZ, минимальная WOZ и таблица цен индексируются ежегодно, поэтому абсолютные значения со временем сдвинутся при сохранении соотношений (балл — около € 7, три балла на € 20 000 WOZ). Статусы памятника и охраняемого ансамбля комиссия самостоятельно не проверяет — их подтверждение лежит на арендодателе.</w:t>
      </w:r>
    </w:p>
    <w:p>
      <w:pPr>
        <w:pStyle w:val="Heading1"/>
        <w:spacing w:after="180" w:before="380"/>
      </w:pPr>
      <w:r>
        <w:rPr>
          <w:rFonts w:ascii="Cambria" w:cs="Cambria" w:eastAsia="Cambria" w:hAnsi="Cambria"/>
          <w:b/>
          <w:bCs/>
          <w:color w:val="1F2A38"/>
          <w:sz w:val="27"/>
          <w:szCs w:val="27"/>
        </w:rPr>
        <w:t xml:space="preserve">Источники</w:t>
      </w:r>
    </w:p>
    <w:p>
      <w:pPr>
        <w:spacing w:after="160" w:line="300"/>
      </w:pPr>
      <w:r>
        <w:t xml:space="preserve">Три отчёта Huurprijscheck от 27.08.2026 (исходные расчёты). Beleidsboek «Waarderingsstelsel zelfstandige woonruimte», Huurcommissie, редакция января 2026 года (huurcommissie.nl, раздел Beleidsboeken): таблица сертификатов, формула WOZ, вычет за лестницу, формула террасы, лимиты кухни и санузла, правила при отсутствии WOZ и сертификата, надбавки за памятники. Границы сегментов 2026 года: публикации !WOON (wooninfo.nl) и Woonbond (woonbond.nl).</w:t>
      </w:r>
    </w:p>
    <w:p>
      <w:pPr>
        <w:spacing w:after="160" w:before="60" w:line="276"/>
      </w:pPr>
      <w:r>
        <w:rPr>
          <w:i/>
          <w:iCs/>
          <w:color w:val="6B6B6B"/>
          <w:sz w:val="19"/>
          <w:szCs w:val="19"/>
        </w:rPr>
        <w:t xml:space="preserve">Подготовлено 27.08.2026.</w:t>
      </w:r>
    </w:p>
    <w:sectPr>
      <w:pgSz w:w="11906" w:h="16838" w:orient="portrait"/>
      <w:pgMar w:top="1250" w:right="1500" w:bottom="1250" w:left="1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2026-08-27T18:44:03.379Z</dcterms:created>
  <dcterms:modified xsi:type="dcterms:W3CDTF">2026-08-27T18:44:03.394Z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