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63F26" w:sz="10" w:space="6"/>
        </w:pBdr>
        <w:spacing w:after="180" w:before="0"/>
      </w:pPr>
      <w:r>
        <w:rPr>
          <w:rFonts w:ascii="PT Serif" w:cs="PT Serif" w:eastAsia="PT Serif" w:hAnsi="PT Serif"/>
          <w:b/>
          <w:bCs/>
          <w:color w:val="23303A"/>
          <w:sz w:val="32"/>
          <w:szCs w:val="32"/>
        </w:rPr>
        <w:t xml:space="preserve">Торговые центры в окружении: карта</w:t>
      </w:r>
    </w:p>
    <w:p>
      <w:pPr>
        <w:spacing w:after="140" w:line="276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Четырнадцать торговых объектов, между которыми распределяется спрос жителей Ильинского и соседних посёлков. Расстояния — по прямой от улицы Ленина, 28; по дороге до объектов на правом берегу Москвы-реки (Барвиха, Дрим Хаус) выходит 15–20 километров, потому что ближайшие мосты — у Петрово-Дальнего и Успенского.</w:t>
      </w:r>
    </w:p>
    <w:p>
      <w:pPr>
        <w:spacing w:after="30" w:before="100"/>
        <w:jc w:val="center"/>
      </w:pPr>
      <w:r>
        <w:drawing>
          <wp:inline distT="0" distB="0" distL="0" distR="0">
            <wp:extent cx="6286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4DED4" w:sz="2" w:space="6"/>
        </w:pBdr>
        <w:spacing w:after="120" w:before="6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Яндекс.Карты. Красным — ТЦ «Амбар 1», ул. Ленина, 28. Синими номерами — торговые центры из таблицы ниже, нумерация по возрастанию расстояния. Слева вся зона, справа улица Ленина крупным планом: на общей карте точки 1–3 сливаются с нашей.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0"/>
        <w:gridCol w:w="2700"/>
        <w:gridCol w:w="3300"/>
        <w:gridCol w:w="1100"/>
        <w:gridCol w:w="2486"/>
      </w:tblGrid>
      <w:tr>
        <w:trPr>
          <w:tblHeader/>
        </w:trPr>
        <w:tc>
          <w:tcPr>
            <w:tcW w:type="dxa" w:w="5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center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№</w:t>
            </w:r>
          </w:p>
        </w:tc>
        <w:tc>
          <w:tcPr>
            <w:tcW w:type="dxa" w:w="2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Объект</w:t>
            </w:r>
          </w:p>
        </w:tc>
        <w:tc>
          <w:tcPr>
            <w:tcW w:type="dxa" w:w="3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По прямой</w:t>
            </w:r>
          </w:p>
        </w:tc>
        <w:tc>
          <w:tcPr>
            <w:tcW w:type="dxa" w:w="248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«Амбар 2»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с. Ильинское, ул. Ленина, 26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23 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районный, 1 эт. + цоколь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ТК «Ильинка Вилладж»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с. Ильинское, ул. Ленина, 30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77 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премиальный, малоэтажный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3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«Ильинский»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с. Ильинское, ул. Ленина, 11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414 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районный, 2 эт. + цоколь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Барвиха Luxury Village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Барвиха, Рублёво-Успенское ш., 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2,8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люкс, формат «улица»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Dream House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Барвиха, 85/1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3,0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тематический, 4 уровня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6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РигаМолл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Новорижское шоссе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4,8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окружной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7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Архангельское Аутлет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Воронки, 1, корп. 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5,1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аутлет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8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Гипермаркет «Глобус»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Новорижское ш., 22-й км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5,9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гипермаркет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9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«Красногорский»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Красногорск, ул. Ленина, 40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8,9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районный, 2 эт.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ТРК «Павлово Подворье»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Новинки, 115, стр. 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9,0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окружной, 2 эт.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Vegas Крокус Сити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Красногорск, Международная ул., 12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11,3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суперрегиональный, 6 эт.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«Октябрь»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с. Павловская Слобода, Октябрьская, 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11,3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районный, 3 эт. + цоколь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13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«Княжий двор»</w:t>
            </w:r>
          </w:p>
        </w:tc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Борзые, Невская ул., 704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13,8 км</w:t>
            </w:r>
          </w:p>
        </w:tc>
        <w:tc>
          <w:tcPr>
            <w:tcW w:type="dxa" w:w="24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районный, 3 уровня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6"/>
                <w:szCs w:val="16"/>
              </w:rPr>
              <w:t xml:space="preserve">14</w:t>
            </w:r>
          </w:p>
        </w:tc>
        <w:tc>
          <w:tcPr>
            <w:tcW w:type="dxa" w:w="2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Новая Рига Аутлет</w:t>
            </w:r>
          </w:p>
        </w:tc>
        <w:tc>
          <w:tcPr>
            <w:tcW w:type="dxa" w:w="3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д. Покровское, Центральная ул., 33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14,8 км</w:t>
            </w:r>
          </w:p>
        </w:tc>
        <w:tc>
          <w:tcPr>
            <w:tcW w:type="dxa" w:w="248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аутлет</w:t>
            </w:r>
          </w:p>
        </w:tc>
      </w:tr>
    </w:tbl>
    <w:p>
      <w:pPr>
        <w:pBdr>
          <w:top w:val="single" w:color="23303A" w:sz="10" w:space="8"/>
          <w:left w:val="single" w:color="FFFFFF" w:sz="2" w:space="8"/>
          <w:right w:val="single" w:color="FFFFFF" w:sz="2" w:space="8"/>
        </w:pBdr>
        <w:shd w:fill="EEF2F6" w:color="auto" w:val="clear"/>
        <w:spacing w:after="90" w:before="200"/>
      </w:pPr>
      <w:r>
        <w:rPr>
          <w:rFonts w:ascii="PT Sans" w:cs="PT Sans" w:eastAsia="PT Sans" w:hAnsi="PT Sans"/>
          <w:b/>
          <w:bCs/>
          <w:caps/>
          <w:color w:val="23303A"/>
          <w:spacing w:val="22"/>
          <w:sz w:val="18"/>
          <w:szCs w:val="18"/>
        </w:rPr>
        <w:t xml:space="preserve">Что показывает карта</w:t>
      </w:r>
    </w:p>
    <w:p>
      <w:pPr>
        <w:pBdr>
          <w:left w:val="single" w:color="FFFFFF" w:sz="2" w:space="8"/>
          <w:right w:val="single" w:color="FFFFFF" w:sz="2" w:space="8"/>
        </w:pBdr>
        <w:shd w:fill="EEF2F6" w:color="auto" w:val="clear"/>
        <w:spacing w:after="9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Ближний круг — три объекта в пределах 450 метров, и все три на одной улице. Вместе с нашим зданием это сложившийся ретейл-кластер, внутри которого спрос уже поделён.</w:t>
      </w:r>
    </w:p>
    <w:p>
      <w:pPr>
        <w:pBdr>
          <w:left w:val="single" w:color="FFFFFF" w:sz="2" w:space="8"/>
          <w:right w:val="single" w:color="FFFFFF" w:sz="2" w:space="8"/>
        </w:pBdr>
        <w:shd w:fill="EEF2F6" w:color="auto" w:val="clear"/>
        <w:spacing w:after="9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Следующий пояс — 3–6 километров: Барвиха, Дрим Хаус, РигаМолл, Архангельское Аутлет, «Глобус». По прямой они близко, но Москва-река превращает эти километры в 15–20 по дороге, поэтому ежедневный спрос они не забирают.</w:t>
      </w:r>
    </w:p>
    <w:p>
      <w:pPr>
        <w:pBdr>
          <w:bottom w:val="single" w:color="EEF2F6" w:sz="2" w:space="8"/>
          <w:left w:val="single" w:color="FFFFFF" w:sz="2" w:space="8"/>
          <w:right w:val="single" w:color="FFFFFF" w:sz="2" w:space="8"/>
        </w:pBdr>
        <w:shd w:fill="EEF2F6" w:color="auto" w:val="clear"/>
        <w:spacing w:after="15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Дальше 9 километров начинаются объекты, за которыми едут специально: «Павлово Подворье», «Октябрь», «Княжий двор», Vegas. Они не конкурируют за поход за хлебом, но конкурируют за то, ради чего человек садится в машину на полчаса, — а именно этим живут вторые и третьи этажи.</w:t>
      </w:r>
    </w:p>
    <w:p>
      <w:pPr>
        <w:pageBreakBefore/>
        <w:pBdr>
          <w:bottom w:val="single" w:color="963F26" w:sz="10" w:space="6"/>
        </w:pBdr>
        <w:spacing w:after="180" w:before="0"/>
      </w:pPr>
      <w:r>
        <w:rPr>
          <w:rFonts w:ascii="PT Serif" w:cs="PT Serif" w:eastAsia="PT Serif" w:hAnsi="PT Serif"/>
          <w:b/>
          <w:bCs/>
          <w:color w:val="23303A"/>
          <w:sz w:val="32"/>
          <w:szCs w:val="32"/>
        </w:rPr>
        <w:t xml:space="preserve">Что стоит на вторых этажах</w:t>
      </w:r>
    </w:p>
    <w:p>
      <w:pPr>
        <w:spacing w:after="140" w:line="276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Второй этаж — тот же вопрос, который стоит перед нашими помещениями №1 и №2. Ниже — фактический состав вторых этажей там, где торговые центры публикуют поэтажную раскладку.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4700"/>
        <w:gridCol w:w="3106"/>
      </w:tblGrid>
      <w:tr>
        <w:trPr>
          <w:tblHeader/>
        </w:trPr>
        <w:tc>
          <w:tcPr>
            <w:tcW w:type="dxa" w:w="2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Торговый центр</w:t>
            </w:r>
          </w:p>
        </w:tc>
        <w:tc>
          <w:tcPr>
            <w:tcW w:type="dxa" w:w="4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Кто занимает второй этаж</w:t>
            </w:r>
          </w:p>
        </w:tc>
        <w:tc>
          <w:tcPr>
            <w:tcW w:type="dxa" w:w="31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Чем это полезно нам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«Октябрь»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Павловская Слобода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11,3 км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3 эт. + цоколь</w:t>
            </w:r>
          </w:p>
        </w:tc>
        <w:tc>
          <w:tcPr>
            <w:tcW w:type="dxa" w:w="47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DNS (электроника), Ламода, Яндекс Маркет, пункт выдачи OZON, «Весёлая Затея» (товары для праздника), «Нейрополис», ремонт телефонов и ключей.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Свободно помещение 21 — 98 м², предлагается «под стоматологию, кафе или фитнес»</w:t>
            </w:r>
          </w:p>
        </w:tc>
        <w:tc>
          <w:tcPr>
            <w:tcW w:type="dxa" w:w="3106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Ближайший функциональный аналог: те же три этажа, потолки 3,92–3,94 м против наших 3,9. Показывает, что на второй этаж товарный арендатор идёт — но только электроника и выдача заказов маркетплейсов. Одежды и обуви нет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«Княжий двор»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Новорижское шоссе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13,8 км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3 уровня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WHITE FOX Medical &amp; Beauty и отдельно WHITE FOX для детей, WHITE FOX SPA &amp; Barbershop, EXCLUSIVE FITNESS, YOGA TIME NEW RIGA, академия джиу-джитсу «SO FORCA &amp; GOJIRA», студия загара SUN VIBE, ателье «Придворный портной», Fashion Lab, кадровое агентство, «Чулкоff», MIA FURS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Второй этаж почти целиком отдан медицине, красоте и спорту. Товарных арендаторов двое, оба — узкие нишевые. Первый этаж при этом занят продуктами, банками, пунктами выдачи и ресторанами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Dream House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Барвиха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3,0 км по прямой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4 уровня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DeLight, GRETHER&amp;WELLS, IRAN CARPETS, Salone, Le 5 Avenue, Chobi (интерьер, ковры, мебель), Tartufo, «Сувениры», MFITNESS, «Детский универмаг»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Другая экономика: премиальный катчмент позволяет держать на втором этаже крупноформатный товар низкой частоты. Но и здесь рядом с мебелью стоят фитнес и детский формат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«Амбар 2»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ул. Ленина, 26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25 м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1 эт. + цоколь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На втором этаже — кальян-бар SB Lounge. ВкусВилл и «Ароматный Мир» заняли первый этаж, автомойка-детейлинг Dr. Duck — цоколь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Соседний корпус того же собственника подтверждает правило в чистом виде: всё, что генерирует трафик, село на первый этаж, наверх ушёл вечерний формат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ТЦ «Ильинский»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ул. Ленина, 11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440 м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2 эт. + цоколь</w:t>
            </w:r>
          </w:p>
        </w:tc>
        <w:tc>
          <w:tcPr>
            <w:tcW w:type="dxa" w:w="4700"/>
            <w:tcBorders>
              <w:bottom w:val="single" w:color="E4DED4" w:sz="2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Поэтажную раскладку центр не публикует. Из 32 организаций по этажу известно только про три, и все три — на первом. Форматы, которые в подобных центрах обычно занимают верх, здесь есть: фитнес-клуб «Культура», школа шахмат EduChess, «Зов Джунглей» (детские праздники), салон красоты «Золотой», барбершоп Real Men, «Кашемир-Шоп», «Микстон» (оборудование для салонов красоты)</w:t>
            </w:r>
          </w:p>
        </w:tc>
        <w:tc>
          <w:tcPr>
            <w:tcW w:type="dxa" w:w="3106"/>
            <w:tcBorders>
              <w:bottom w:val="single" w:color="E4DED4" w:sz="2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Главный конкурент, и единственный, по которому нельзя сказать точно. Набор арендаторов при этом говорит сам за себя: спрос на услуги, детское и спорт в локации есть и уже обслуживается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ТРК «Павлово Подворье»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9,0 км · 2 эт.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ТК «Ильинка Вилладж»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75 м</w:t>
            </w:r>
          </w:p>
        </w:tc>
        <w:tc>
          <w:tcPr>
            <w:tcW w:type="dxa" w:w="4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Раскладку по этажам не публикуют ни тот, ни другой. По «Павлово Подворью» известен состав целиком: школа танцев TODES, детский центр, «Книжный лабиринт», IL Patio, клиники, салоны</w:t>
            </w:r>
          </w:p>
        </w:tc>
        <w:tc>
          <w:tcPr>
            <w:tcW w:type="dxa" w:w="31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TODES и детский центр — ровно те форматы, что в других центрах стоят наверху. Прямым доказательством по этажу это не является</w:t>
            </w:r>
          </w:p>
        </w:tc>
      </w:tr>
    </w:tbl>
    <w:p>
      <w:pPr>
        <w:pBdr>
          <w:top w:val="single" w:color="E4DED4" w:sz="2" w:space="6"/>
        </w:pBdr>
        <w:spacing w:after="120" w:before="6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Источники: официальные сайты торговых центров (tc-oktyabr.ru, tc-dvor.ru, dreamhouse.ru, podvorie.com) и карточки организаций Яндекс.Карт, сентябрь 2026 года. Для ТЦ «Ильинский», ТК «Ильинка Вилладж» и ТРК «Павлово Подворье» поэтажные планы в открытом доступе отсутствуют.</w:t>
      </w:r>
    </w:p>
    <w:p>
      <w:pPr>
        <w:pBdr>
          <w:top w:val="single" w:color="2F4A61" w:sz="10" w:space="8"/>
          <w:left w:val="single" w:color="FFFFFF" w:sz="2" w:space="8"/>
          <w:right w:val="single" w:color="FFFFFF" w:sz="2" w:space="8"/>
        </w:pBdr>
        <w:shd w:fill="EFF7F0" w:color="auto" w:val="clear"/>
        <w:spacing w:after="90" w:before="200"/>
      </w:pPr>
      <w:r>
        <w:rPr>
          <w:rFonts w:ascii="PT Sans" w:cs="PT Sans" w:eastAsia="PT Sans" w:hAnsi="PT Sans"/>
          <w:b/>
          <w:bCs/>
          <w:caps/>
          <w:color w:val="2F4A61"/>
          <w:spacing w:val="22"/>
          <w:sz w:val="18"/>
          <w:szCs w:val="18"/>
        </w:rPr>
        <w:t xml:space="preserve">Правило, которое видно по всем пяти центрам</w:t>
      </w:r>
    </w:p>
    <w:p>
      <w:pPr>
        <w:pBdr>
          <w:left w:val="single" w:color="FFFFFF" w:sz="2" w:space="8"/>
          <w:right w:val="single" w:color="FFFFFF" w:sz="2" w:space="8"/>
        </w:pBdr>
        <w:shd w:fill="EFF7F0" w:color="auto" w:val="clear"/>
        <w:spacing w:after="9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Первый этаж везде занят тем, ради чего человек заезжает по дороге: продукты, аптека, банк, пункт выдачи, еда. За эти места конкуренции нет — они разбираются первыми.</w:t>
      </w:r>
    </w:p>
    <w:p>
      <w:pPr>
        <w:pBdr>
          <w:left w:val="single" w:color="FFFFFF" w:sz="2" w:space="8"/>
          <w:right w:val="single" w:color="FFFFFF" w:sz="2" w:space="8"/>
        </w:pBdr>
        <w:shd w:fill="EFF7F0" w:color="auto" w:val="clear"/>
        <w:spacing w:after="9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Второй этаж берут четыре категории: красота и медицина, спорт и танцы, детское развитие, бытовые услуги. Из товарных арендаторов наверх поднимаются только электроника и шоурумы маркетплейсов — и только там, где центр крупнее нашего. Сетевой одежды и обуви на вторых этажах нет ни в одном из пяти объектов.</w:t>
      </w:r>
    </w:p>
    <w:p>
      <w:pPr>
        <w:pBdr>
          <w:bottom w:val="single" w:color="EFF7F0" w:sz="2" w:space="8"/>
          <w:left w:val="single" w:color="FFFFFF" w:sz="2" w:space="8"/>
          <w:right w:val="single" w:color="FFFFFF" w:sz="2" w:space="8"/>
        </w:pBdr>
        <w:shd w:fill="EFF7F0" w:color="auto" w:val="clear"/>
        <w:spacing w:after="15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Общий признак арендаторов второго этажа: к ним едут по записи или целенаправленно, витрина им не нужна. Это и есть целевой список для помещений №1 и №2 — и побочная выгода в том, что запись распределяет визиты по времени и снимает пиковую нагрузку на 42 парковочных места.</w:t>
      </w:r>
    </w:p>
    <w:sectPr>
      <w:headerReference w:type="default" r:id="rId7"/>
      <w:pgSz w:w="11906" w:h="16838" w:orient="portrait"/>
      <w:pgMar w:top="10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CB4A8" w:sz="4" w:space="6"/>
      </w:pBdr>
      <w:spacing w:after="0"/>
      <w:jc w:val="left"/>
    </w:pPr>
    <w:r>
      <w:rPr>
        <w:rFonts w:ascii="PT Sans" w:cs="PT Sans" w:eastAsia="PT Sans" w:hAnsi="PT Sans"/>
        <w:color w:val="8C8479"/>
        <w:spacing w:val="30"/>
        <w:sz w:val="14"/>
        <w:szCs w:val="14"/>
      </w:rPr>
      <w:t xml:space="preserve">ТЦ «АМБАР 1» · КОНКУРЕНТНОЕ ОКРУЖЕНИЕ ·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color w:val="1E1C1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aa534442ac313364557cdf725538b239d0f731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2026-09-22T13:35:32.454Z</dcterms:created>
  <dcterms:modified xsi:type="dcterms:W3CDTF">2026-09-22T13:35:32.454Z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