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rFonts w:ascii="Georgia" w:cs="Georgia" w:eastAsia="Georgia" w:hAnsi="Georgia"/>
          <w:b/>
          <w:bCs/>
          <w:color w:val="B8860B"/>
          <w:spacing w:val="60"/>
          <w:sz w:val="24"/>
          <w:szCs w:val="24"/>
        </w:rPr>
        <w:t xml:space="preserve">ИССЛЕДОВАНИЕ ВАКАНТНЫХ ПОМЕЩЕНИЙ</w:t>
      </w:r>
    </w:p>
    <w:p>
      <w:pPr>
        <w:spacing w:after="0" w:before="260"/>
        <w:jc w:val="center"/>
      </w:pPr>
      <w:r>
        <w:rPr>
          <w:rFonts w:ascii="Georgia" w:cs="Georgia" w:eastAsia="Georgia" w:hAnsi="Georgia"/>
          <w:b/>
          <w:bCs/>
          <w:color w:val="123A5F"/>
          <w:sz w:val="68"/>
          <w:szCs w:val="68"/>
        </w:rPr>
        <w:t xml:space="preserve">ТЦ «АМБАР 1»</w:t>
      </w:r>
    </w:p>
    <w:p>
      <w:pPr>
        <w:spacing w:after="0" w:before="120"/>
        <w:jc w:val="center"/>
      </w:pPr>
      <w:r>
        <w:rPr>
          <w:rFonts w:ascii="Georgia" w:cs="Georgia" w:eastAsia="Georgia" w:hAnsi="Georgia"/>
          <w:color w:val="1F2328"/>
          <w:sz w:val="24"/>
          <w:szCs w:val="24"/>
        </w:rPr>
        <w:t xml:space="preserve">с. Ильинское, ул. Ленина, 28 · г.о. Красногорск · Московская область</w:t>
      </w:r>
    </w:p>
    <w:p>
      <w:pPr>
        <w:pBdr>
          <w:top w:val="single" w:color="B8860B" w:sz="8" w:space="14"/>
        </w:pBdr>
        <w:spacing w:after="0" w:before="420"/>
        <w:jc w:val="center"/>
      </w:pPr>
      <w:r>
        <w:rPr>
          <w:sz w:val="4"/>
          <w:szCs w:val="4"/>
        </w:rPr>
        <w:t xml:space="preserve"> </w:t>
      </w:r>
    </w:p>
    <w:p>
      <w:pPr>
        <w:spacing w:after="0" w:before="300"/>
        <w:jc w:val="center"/>
      </w:pPr>
      <w:r>
        <w:rPr>
          <w:rFonts w:ascii="Georgia" w:cs="Georgia" w:eastAsia="Georgia" w:hAnsi="Georgia"/>
          <w:i/>
          <w:iCs/>
          <w:color w:val="5B6570"/>
          <w:sz w:val="22"/>
          <w:szCs w:val="22"/>
        </w:rPr>
        <w:t xml:space="preserve">Диагностика причин трёхлетней вакансии, бенчмарк арендных ставок,
локационный анализ и тир-лист потенциальных арендаторов</w:t>
      </w:r>
    </w:p>
    <w:p>
      <w:pPr>
        <w:spacing w:after="0" w:before="1500"/>
        <w:jc w:val="center"/>
      </w:pPr>
      <w:r>
        <w:rPr>
          <w:rFonts w:ascii="Georgia" w:cs="Georgia" w:eastAsia="Georgia" w:hAnsi="Georgia"/>
          <w:b/>
          <w:bCs/>
          <w:color w:val="123A5F"/>
          <w:sz w:val="22"/>
          <w:szCs w:val="22"/>
        </w:rPr>
        <w:t xml:space="preserve">Сентябрь 2026</w:t>
      </w:r>
    </w:p>
    <w:p>
      <w:pPr>
        <w:spacing w:after="0" w:before="80"/>
        <w:jc w:val="center"/>
      </w:pPr>
      <w:r>
        <w:rPr>
          <w:rFonts w:ascii="Georgia" w:cs="Georgia" w:eastAsia="Georgia" w:hAnsi="Georgia"/>
          <w:i/>
          <w:iCs/>
          <w:color w:val="5B6570"/>
          <w:sz w:val="19"/>
          <w:szCs w:val="19"/>
        </w:rPr>
        <w:t xml:space="preserve">Предмет анализа: 515,4 м² вакантных площадей на 2-м и 3-м этажах</w:t>
      </w:r>
    </w:p>
    <w:p>
      <w:r>
        <w:br w:type="page"/>
      </w:r>
    </w:p>
    <w:p>
      <w:pPr>
        <w:pBdr>
          <w:bottom w:val="single" w:color="B8860B" w:sz="10" w:space="6"/>
        </w:pBdr>
        <w:spacing w:after="20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Оглавление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1. Резюме для собственника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1.1. Вердикт по ставкам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1.2. Три главные причины вакансии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1.3. Топ-5 арендаторов для первого обзвона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1.4. Пять действий на ближайшие 90 дней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4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2. Паспорт помещений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5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2.1. Сводная таблица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5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2.2. Что показывает генплан участка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6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2.3. Помещение №1 — 430,5 м², 2 этаж, терраса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7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2.4. Помещение №2 — 39,6 м², 2 этаж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8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2.5. Помещение №3 — 45,3 м², 3 этаж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9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3. Бенчмарк арендных ставок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10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3.1. Ключевые сопоставимые предложения — та же улица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10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3.2. Разброс по кластерам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11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3.3. Поправка на этаж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11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3.4. Поправка на площадь и на террасу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12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3.5. Рыночный контекст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12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3.6. Вердикт по каждому помещению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13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4. Локационный анализ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15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4.1. Расположение и конкурентное окружение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15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4.2. Жители соседних локаций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16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4.3. Трафик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19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4.4. Социально-экономический контекст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21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5. Почему помещения вакантны три года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23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5.1. Матрица «объективно / управляемо»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23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5.2. Пять ошибок, которые видит арендатор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24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6. Тир-лист потенциальных арендаторов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25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6.1. Пять категорий для холодного предложения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33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7. Сценарии и оценка NPV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34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8. План действий на 90 дней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36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9. Источники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38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10. Приложение: методология, допущения и ограничения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40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10.1. Методология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40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10.2. Ключевые допущения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40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10.3. Что проверить до принятия решений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40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10.4. Чего не удалось проверить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41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10.5. Неразрешённое противоречие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42</w:t>
      </w:r>
    </w:p>
    <w:p>
      <w:pPr>
        <w:pStyle w:val="Heading1"/>
        <w:pageBreakBefore/>
        <w:pBdr>
          <w:bottom w:val="single" w:color="B8860B" w:sz="10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1. Резюме для собственника</w:t>
      </w:r>
    </w:p>
    <w:p>
      <w:pPr>
        <w:spacing w:after="17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Вывод в одном абзаце.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Здание не является проблемой: архитектура современная, продуктовый якорь, аптека, пекарня, ПВЗ и цветочный магазин работают, рейтинг ТЦ 4,4 при 68 оценках, а посетители в отзывах ни разу не жалуются на пустоту. Проблема сосредоточена в лизинговой воронке: помещения продаются по ставкам, не соответствующим этажу, через единственный аффилированный канал, с ошибками в объявлениях, устаревшими материалами и позиционированием, под которое в этой локации нет рынка. Из восьми причин вакансии на управляемые приходится около 67% совокупного веса. Первый пакет мер стоит порядка 350 тыс. ₽ и по нашей модели даёт прирост NPV около 6,6 млн ₽ за три года.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1.1. Вердикт по ставкам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500"/>
        <w:gridCol w:w="1700"/>
        <w:gridCol w:w="1750"/>
        <w:gridCol w:w="2350"/>
        <w:gridCol w:w="1806"/>
      </w:tblGrid>
      <w:tr>
        <w:trPr>
          <w:tblHeader/>
        </w:trPr>
        <w:tc>
          <w:tcPr>
            <w:tcW w:type="dxa" w:w="25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</w:t>
            </w:r>
          </w:p>
        </w:tc>
        <w:tc>
          <w:tcPr>
            <w:tcW w:type="dxa" w:w="17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Текущая ставка</w:t>
            </w:r>
          </w:p>
        </w:tc>
        <w:tc>
          <w:tcPr>
            <w:tcW w:type="dxa" w:w="17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  <w:tc>
          <w:tcPr>
            <w:tcW w:type="dxa" w:w="23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Рекомендуемая ставка</w:t>
            </w:r>
          </w:p>
        </w:tc>
        <w:tc>
          <w:tcPr>
            <w:tcW w:type="dxa" w:w="18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Целевой срок сдачи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 — 430,5 м², 2 этаж,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терраса, потолки 3,9 м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499 000 ₽/мес</w:t>
            </w:r>
          </w:p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13 909 ₽/м²/год</w:t>
            </w:r>
          </w:p>
        </w:tc>
        <w:tc>
          <w:tcPr>
            <w:tcW w:type="dxa" w:w="175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ЗАНИЖЕНА</w:t>
            </w:r>
          </w:p>
        </w:tc>
        <w:tc>
          <w:tcPr>
            <w:tcW w:type="dxa" w:w="23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16 500–18 500 ₽/м²/год</w:t>
            </w:r>
          </w:p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592–664 тыс. ₽/мес</w:t>
            </w:r>
          </w:p>
        </w:tc>
        <w:tc>
          <w:tcPr>
            <w:tcW w:type="dxa" w:w="1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после нарезки</w:t>
            </w:r>
          </w:p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и реконцепции</w:t>
            </w:r>
          </w:p>
        </w:tc>
      </w:tr>
      <w:tr>
        <w:tc>
          <w:tcPr>
            <w:tcW w:type="dxa" w:w="2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129 000 ₽/мес</w:t>
            </w:r>
          </w:p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39 091 ₽/м²/год</w:t>
            </w:r>
          </w:p>
        </w:tc>
        <w:tc>
          <w:tcPr>
            <w:tcW w:type="dxa" w:w="175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ЗАВЫШЕНА</w:t>
            </w:r>
          </w:p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на 27–60%</w:t>
            </w:r>
          </w:p>
        </w:tc>
        <w:tc>
          <w:tcPr>
            <w:tcW w:type="dxa" w:w="23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28 000–32 000 ₽/м²/год</w:t>
            </w:r>
          </w:p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92–106 тыс. ₽/мес</w:t>
            </w:r>
          </w:p>
        </w:tc>
        <w:tc>
          <w:tcPr>
            <w:tcW w:type="dxa" w:w="18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3–4 месяца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№3 — 45,3 м², 3 этаж,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«офис»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98 000 ₽/мес</w:t>
            </w:r>
          </w:p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25 960 ₽/м²/год</w:t>
            </w:r>
          </w:p>
        </w:tc>
        <w:tc>
          <w:tcPr>
            <w:tcW w:type="dxa" w:w="1750"/>
            <w:shd w:fill="F2994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ЗАВЫШЕНА +</w:t>
            </w:r>
          </w:p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ошибка позиционирования</w:t>
            </w:r>
          </w:p>
        </w:tc>
        <w:tc>
          <w:tcPr>
            <w:tcW w:type="dxa" w:w="23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20 000–24 000 ₽/м²/год</w:t>
            </w:r>
          </w:p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75–90 тыс. ₽/мес</w:t>
            </w:r>
          </w:p>
        </w:tc>
        <w:tc>
          <w:tcPr>
            <w:tcW w:type="dxa" w:w="1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2–3 месяца</w:t>
            </w:r>
          </w:p>
        </w:tc>
      </w:tr>
    </w:tbl>
    <w:p>
      <w:pPr>
        <w:spacing w:after="190" w:before="60"/>
      </w:pPr>
      <w:r>
        <w:rPr>
          <w:rFonts w:ascii="Georgia" w:cs="Georgia" w:eastAsia="Georgia" w:hAnsi="Georgia"/>
          <w:i/>
          <w:iCs/>
          <w:color w:val="5B6570"/>
          <w:sz w:val="16"/>
          <w:szCs w:val="16"/>
        </w:rPr>
        <w:t xml:space="preserve">Расчёт: ₽/м²/год = ставка ₽/мес × 12 ÷ площадь. Источник ставок — объявления metrplus.com, обновлены 27.07.2026 и 12.08.2026.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1.2. Три главные причины вакансии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23A5F"/>
          <w:sz w:val="21"/>
          <w:szCs w:val="21"/>
        </w:rPr>
        <w:t xml:space="preserve">1. Ставка №2 и №3 не привязана к этажу (вклад ≈22%).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В 100 метрах, в ТЦ «Ильинский», помещение 38 м² с современным ремонтом на 2-м этаже предлагается за 30 000 ₽/м²/год — мы просим 39 091 ₽/м²/год за фактически такой же лот. При этом в собственной презентации 2023 года владелец оценивал 2-й этаж в 2 000 ₽/м²/мес, а сегодня просит за малый блок того же этажа 3 258 ₽/м²/мес.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23A5F"/>
          <w:sz w:val="21"/>
          <w:szCs w:val="21"/>
        </w:rPr>
        <w:t xml:space="preserve">2. Единственный канал продаж и ошибки в объявлениях (вклад ≈18%).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Полный скан карты сайта дал ровно четыре объявления, все — на metrplus.com, аффилированном с собственником. На ЦИАН, Авито и Яндекс.Недвижимости объект не представлен. В объявлениях не указаны НДС, OPEX и коммунальные платежи — без них отдел развития сети не может посчитать полную занятость и не ставит объект в воронку. Кадастровый номер в двух объявлениях указан от соседнего здания.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23A5F"/>
          <w:sz w:val="21"/>
          <w:szCs w:val="21"/>
        </w:rPr>
        <w:t xml:space="preserve">3. Позиционирование, под которое нет рынка (вклад ≈15%).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Помещение №3 продаётся как «офис на первой линии», тогда как офисного рынка в Ильинском не существует: на realestate.ru — ноль офисных объявлений, на mirkvartir из 191 объявления одно, и это целое здание. Помещение №2 названо «торговой площадью», хотя это внутренняя комната без витрины. Помещение №1 предлагается «под офис, коворкинг, спортивную или танцевальную студию» — четыре разных продукта в одном тексте.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1.3. Топ-5 арендаторов для первого обзвона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520"/>
        <w:gridCol w:w="2100"/>
        <w:gridCol w:w="1600"/>
        <w:gridCol w:w="5886"/>
      </w:tblGrid>
      <w:tr>
        <w:trPr>
          <w:tblHeader/>
        </w:trPr>
        <w:tc>
          <w:tcPr>
            <w:tcW w:type="dxa" w:w="52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dxa" w:w="21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Компания</w:t>
            </w:r>
          </w:p>
        </w:tc>
        <w:tc>
          <w:tcPr>
            <w:tcW w:type="dxa" w:w="1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</w:t>
            </w:r>
          </w:p>
        </w:tc>
        <w:tc>
          <w:tcPr>
            <w:tcW w:type="dxa" w:w="588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Почему именно они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Бэби-клуб / Бэби-сад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160 клубов и садов, формат «Бэби-сад» от 140 м². Терраса — прогулочная зона, которую в обычном ТЦ сделать негде. Субсидия МО 14 500 ₽/мес на ребёнка</w:t>
            </w:r>
          </w:p>
        </w:tc>
      </w:tr>
      <w:tr>
        <w:tc>
          <w:tcPr>
            <w:tcW w:type="dxa" w:w="5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SoloSalon</w:t>
            </w:r>
          </w:p>
        </w:tc>
        <w:tc>
          <w:tcPr>
            <w:tcW w:type="dxa" w:w="1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50 адресов, открытие на Аминьевской в сентябре 2026. 430 м² = 15–20 рабочих мест. Бьюти-спрос на этом адресе уже доказан пятью операторами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4hands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№2 (39,6 м²)</w:t>
            </w:r>
          </w:p>
        </w:tc>
        <w:tc>
          <w:tcPr>
            <w:tcW w:type="dxa" w:w="588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221 точка. Их регламент: 30–100 м², ТЦ либо жилой дом, мокрая точка, от 15 кВт — совпадение по всем пунктам</w:t>
            </w:r>
          </w:p>
        </w:tc>
      </w:tr>
      <w:tr>
        <w:tc>
          <w:tcPr>
            <w:tcW w:type="dxa" w:w="5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Art of Pilates</w:t>
            </w:r>
          </w:p>
        </w:tc>
        <w:tc>
          <w:tcPr>
            <w:tcW w:type="dxa" w:w="1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№1, блок 150 м²</w:t>
            </w:r>
          </w:p>
        </w:tc>
        <w:tc>
          <w:tcPr>
            <w:tcW w:type="dxa" w:w="588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Формат 100–150 м² и от 150 м². Потолки 3,9 м — их прямое требование под реформеры. Посещение по записи не перегружает 42 парковки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Laser Love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№3 (45,3 м²)</w:t>
            </w:r>
          </w:p>
        </w:tc>
        <w:tc>
          <w:tcPr>
            <w:tcW w:type="dxa" w:w="588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237 студий; опубликованная 13.03.2026 стратегия — плюс 10 клиник в Москве в 2026. №3 уже имеет отделку бьюти-студии</w:t>
            </w:r>
          </w:p>
        </w:tc>
      </w:tr>
    </w:tbl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1.4. Пять действий на ближайшие 90 дней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4700"/>
        <w:gridCol w:w="1250"/>
        <w:gridCol w:w="1500"/>
        <w:gridCol w:w="2656"/>
      </w:tblGrid>
      <w:tr>
        <w:trPr>
          <w:tblHeader/>
        </w:trPr>
        <w:tc>
          <w:tcPr>
            <w:tcW w:type="dxa" w:w="47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Действие</w:t>
            </w:r>
          </w:p>
        </w:tc>
        <w:tc>
          <w:tcPr>
            <w:tcW w:type="dxa" w:w="12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Срок</w:t>
            </w:r>
          </w:p>
        </w:tc>
        <w:tc>
          <w:tcPr>
            <w:tcW w:type="dxa" w:w="15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Стоимость</w:t>
            </w:r>
          </w:p>
        </w:tc>
        <w:tc>
          <w:tcPr>
            <w:tcW w:type="dxa" w:w="265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Ожидаемый эффект</w:t>
            </w:r>
          </w:p>
        </w:tc>
      </w:tr>
      <w:tr>
        <w:tc>
          <w:tcPr>
            <w:tcW w:type="dxa" w:w="4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Пересчитать ставки №2 и №3 к рынку; опубликовать НДС, OPEX, коммунальные, каникулы и условия индексации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7 дней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0 ₽</w:t>
            </w:r>
          </w:p>
        </w:tc>
        <w:tc>
          <w:tcPr>
            <w:tcW w:type="dxa" w:w="265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Снимает 22% веса причин; делает объект считаемым для сетей</w:t>
            </w:r>
          </w:p>
        </w:tc>
      </w:tr>
      <w:tr>
        <w:tc>
          <w:tcPr>
            <w:tcW w:type="dxa" w:w="4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Переупаковать №3 из «офиса» в готовую бьюти-/медицинскую студию, №2 — в «услуги», убрать упоминание ПВЗ Wildberries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14 дней</w:t>
            </w:r>
          </w:p>
        </w:tc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265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Снимает 15% веса; прекращает поток заведомо отказных обращений</w:t>
            </w:r>
          </w:p>
        </w:tc>
      </w:tr>
      <w:tr>
        <w:tc>
          <w:tcPr>
            <w:tcW w:type="dxa" w:w="4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Выйти на ЦИАН, Авито, Яндекс.Недвижимость; заказать профессиональную съёмку с планировками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30 дней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265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Снимает 18% веса; первый независимый канал за 3 года</w:t>
            </w:r>
          </w:p>
        </w:tc>
      </w:tr>
      <w:tr>
        <w:tc>
          <w:tcPr>
            <w:tcW w:type="dxa" w:w="4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Проверить кадастровый номер выпиской ЕГРН; устранить риск по лестнице (антискользящее покрытие, поручни, маркировка)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45 дней</w:t>
            </w:r>
          </w:p>
        </w:tc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265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Убирает юридический блокер сделки и главную претензию в отзывах</w:t>
            </w:r>
          </w:p>
        </w:tc>
      </w:tr>
      <w:tr>
        <w:tc>
          <w:tcPr>
            <w:tcW w:type="dxa" w:w="4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Начать адресный обзвон по тир-листу: 26 компаний уровня S и A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90 дней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время брокера</w:t>
            </w:r>
          </w:p>
        </w:tc>
        <w:tc>
          <w:tcPr>
            <w:tcW w:type="dxa" w:w="265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Воронка вместо ожидания входящих</w:t>
            </w:r>
          </w:p>
        </w:tc>
      </w:tr>
    </w:tbl>
    <w:tbl>
      <w:tblPr>
        <w:tblW w:type="dxa" w:w="10106"/>
        <w:tblBorders>
          <w:top w:val="none"/>
          <w:left w:val="single" w:color="1B7A3D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EFF7F0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7A3D"/>
                <w:sz w:val="21"/>
                <w:szCs w:val="21"/>
              </w:rPr>
              <w:t xml:space="preserve">Что это даёт в деньгах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Сценарий «оставить как есть» даёт NPV минус 0,34 млн ₽ за три года: эксплуатация вакантных площадей стоит дороже, чем приносит поздняя сдача одного помещения.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Сценарий «коррекция цены и упаковки» при затратах 350 тыс. ₽ даёт NPV 6,23 млн ₽ — прирост 6,57 млн ₽.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Лучший по NPV сценарий — якорь на льготной ставке в помещении №1: 9,10 млн ₽ при CAPEX 3,35 млн ₽.</w:t>
            </w:r>
          </w:p>
        </w:tc>
      </w:tr>
    </w:tbl>
    <w:p>
      <w:pPr>
        <w:pStyle w:val="Heading1"/>
        <w:pageBreakBefore/>
        <w:pBdr>
          <w:bottom w:val="single" w:color="B8860B" w:sz="10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2. Паспорт помещений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Все три помещения расположены в Корпусе I комплекса «Амбар» по адресу ул. Ленина, 28. Комплекс состоит из двух зданий: Корпус I (2 191,5 м², наш объект) и Корпус II — ТЦ «Амбар-2», ул. Ленина, 26 (1 414 м²), открытый в 2026 году. Общая площадь комплекса — 3 615,5 м², электрическая мощность 670 кВт, охрана и видеонаблюдение 24/7.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Georgia" w:cs="Georgia" w:eastAsia="Georgia" w:hAnsi="Georgia"/>
          <w:i/>
          <w:iCs/>
          <w:color w:val="5B6570"/>
          <w:sz w:val="17"/>
          <w:szCs w:val="17"/>
        </w:rPr>
        <w:t xml:space="preserve">Фасад ТЦ «Амбар-1». Читаются вывески: «Бьюти Сфера», OZON, «Пятёрочка», «Аптека 36,6», кафе-пекарня «Хлебная почта», цветы «Ирис». Вывески «Бьюти Сферы» и OZON размещены на уровне 2-го этажа — прецедент фасадной вывески для верхних этажей существует.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2.1. Сводная таблица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306"/>
        <w:gridCol w:w="2600"/>
        <w:gridCol w:w="2600"/>
        <w:gridCol w:w="2600"/>
      </w:tblGrid>
      <w:tr>
        <w:trPr>
          <w:tblHeader/>
        </w:trPr>
        <w:tc>
          <w:tcPr>
            <w:tcW w:type="dxa" w:w="23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 №1</w:t>
            </w:r>
          </w:p>
        </w:tc>
        <w:tc>
          <w:tcPr>
            <w:tcW w:type="dxa" w:w="2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 №2</w:t>
            </w:r>
          </w:p>
        </w:tc>
        <w:tc>
          <w:tcPr>
            <w:tcW w:type="dxa" w:w="2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 №3</w:t>
            </w:r>
          </w:p>
        </w:tc>
      </w:tr>
      <w:tr>
        <w:tc>
          <w:tcPr>
            <w:tcW w:type="dxa" w:w="2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Название в объявлении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Торговая площадь с террасой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Торговая площадь 39,6 м²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Офис на первой линии</w:t>
            </w:r>
          </w:p>
        </w:tc>
      </w:tr>
      <w:tr>
        <w:tc>
          <w:tcPr>
            <w:tcW w:type="dxa" w:w="2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430,5 м²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39,6 м²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45,3 м²</w:t>
            </w:r>
          </w:p>
        </w:tc>
      </w:tr>
      <w:tr>
        <w:tc>
          <w:tcPr>
            <w:tcW w:type="dxa" w:w="2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Этаж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Высота потолков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 указана</w:t>
            </w:r>
          </w:p>
        </w:tc>
      </w:tr>
      <w:tr>
        <w:tc>
          <w:tcPr>
            <w:tcW w:type="dxa" w:w="2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Ставка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499 000 ₽/мес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129 000 ₽/мес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98 000 ₽/мес</w:t>
            </w:r>
          </w:p>
        </w:tc>
      </w:tr>
      <w:tr>
        <w:tc>
          <w:tcPr>
            <w:tcW w:type="dxa" w:w="2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₽/м²/год (расчёт)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B7A3D"/>
                <w:sz w:val="17"/>
                <w:szCs w:val="17"/>
              </w:rPr>
              <w:t xml:space="preserve">13 909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EB5757"/>
                <w:sz w:val="17"/>
                <w:szCs w:val="17"/>
              </w:rPr>
              <w:t xml:space="preserve">39 091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F2994A"/>
                <w:sz w:val="17"/>
                <w:szCs w:val="17"/>
              </w:rPr>
              <w:t xml:space="preserve">25 960</w:t>
            </w:r>
          </w:p>
        </w:tc>
      </w:tr>
      <w:tr>
        <w:tc>
          <w:tcPr>
            <w:tcW w:type="dxa" w:w="2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Да, не благоустроена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</w:t>
            </w:r>
          </w:p>
        </w:tc>
      </w:tr>
      <w:tr>
        <w:tc>
          <w:tcPr>
            <w:tcW w:type="dxa" w:w="2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Мокрая точка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Да (санузел 6,7 м²)</w:t>
            </w:r>
          </w:p>
        </w:tc>
      </w:tr>
      <w:tr>
        <w:tc>
          <w:tcPr>
            <w:tcW w:type="dxa" w:w="2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Витрина / фасадное остекление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Нет, одно арочное окно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Нет, но хорошая линия окон</w:t>
            </w:r>
          </w:p>
        </w:tc>
      </w:tr>
      <w:tr>
        <w:tc>
          <w:tcPr>
            <w:tcW w:type="dxa" w:w="2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Состояние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Разнородное: от банкетной отделки до OSB-шелла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Свежий ремонт, нейтральный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Отделка бьюти-студии</w:t>
            </w:r>
          </w:p>
        </w:tc>
      </w:tr>
      <w:tr>
        <w:tc>
          <w:tcPr>
            <w:tcW w:type="dxa" w:w="2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Делимость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Да, заявлена в объявлении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</w:t>
            </w:r>
          </w:p>
        </w:tc>
      </w:tr>
      <w:tr>
        <w:tc>
          <w:tcPr>
            <w:tcW w:type="dxa" w:w="2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Состав по плану БТИ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12 помещений: 131,7 + 61,0 + 49,7 + 36,1 + 31,9 + 28,4 + 26,3 + 19,9 + 19,0 + 16,1 + 12,2 + 7,7 м²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Помещение №20 на плане 2-го этажа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Помещения 10 (25,4) + 12 (13,2) + 11 (6,7) м²</w:t>
            </w:r>
          </w:p>
        </w:tc>
      </w:tr>
      <w:tr>
        <w:tc>
          <w:tcPr>
            <w:tcW w:type="dxa" w:w="2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Обновлено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12.08.2026</w:t>
            </w:r>
          </w:p>
        </w:tc>
      </w:tr>
    </w:tbl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2.2. Что показывает генплан участка</w:t>
      </w:r>
    </w:p>
    <w:p>
      <w:pPr>
        <w:spacing w:after="40" w:before="120"/>
        <w:jc w:val="center"/>
      </w:pPr>
      <w:r>
        <w:drawing>
          <wp:inline distT="0" distB="0" distL="0" distR="0">
            <wp:extent cx="40005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Georgia" w:cs="Georgia" w:eastAsia="Georgia" w:hAnsi="Georgia"/>
          <w:i/>
          <w:iCs/>
          <w:color w:val="5B6570"/>
          <w:sz w:val="17"/>
          <w:szCs w:val="17"/>
        </w:rPr>
        <w:t xml:space="preserve">Схема участка из материалов объявления. Корпус I (ул. Ленина, 28) — западное здание; Корпус II (ул. Ленина, 26) — восточное, ближе к дороге. Парковка пронумерована с 1 по 42.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Вывод: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формулировка «на первой линии Ильинского шоссе» требует оговорки. Корпус I отделён от шоссе парковочным полем, а с восточной стороны фронт частично занимает Корпус II. Первая линия — у комплекса в целом, но вход в наше здание ведёт из внутреннего двора-парковки. Кроме того, 42 парковочных места — это парковка всего комплекса из двух корпусов, а в объявлениях она подаётся как ресурс одного помещения.</w:t>
      </w:r>
    </w:p>
    <w:tbl>
      <w:tblPr>
        <w:tblW w:type="dxa" w:w="10106"/>
        <w:tblBorders>
          <w:top w:val="none"/>
          <w:left w:val="single" w:color="EB5757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FDF0F0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EB5757"/>
                <w:sz w:val="21"/>
                <w:szCs w:val="21"/>
              </w:rPr>
              <w:t xml:space="preserve">Расхождение по числу парковочных мест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Презентация собственника (июнь 2023) и схема участка: 57 мест. Объявления 2026 года: 42 места. Карточка здания на ЦИАН: 12 мест. Разброс — 4,75 раза.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Для локации, где пешеходный трафик отсутствует, а прямой конкурент располагает 120 местами, это параметр первого порядка. Требует замера на объекте.</w:t>
            </w:r>
          </w:p>
        </w:tc>
      </w:tr>
    </w:tbl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2.3. Помещение №1 — 430,5 м², 2 этаж, терраса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80" w:before="70"/>
        <w:jc w:val="center"/>
      </w:pPr>
      <w:r>
        <w:rPr>
          <w:rFonts w:ascii="Georgia" w:cs="Georgia" w:eastAsia="Georgia" w:hAnsi="Georgia"/>
          <w:i/>
          <w:iCs/>
          <w:color w:val="5B6570"/>
          <w:sz w:val="17"/>
          <w:szCs w:val="17"/>
        </w:rPr>
        <w:t xml:space="preserve">Слева направо: терраса; зал с глянцевым керамогранитом, аркой и люстрами; зал с обшивкой OSB и открытым чёрным потолком. Три фотографии одного лота.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Оценка.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Это не единое помещение, а сборка разнородных залов. Часть отделана в стилистике банкетного зала середины 2000-х — глянцевый тёмно-бордовый керамогранит, арочные проёмы, кирпичная кладка, люстры, деревянные балки. Другая часть представляет собой шелл с обшивкой OSB, серым ламинатом и открытыми коммуникациями. Формулировка объявления «с современным ремонтом» справедлива лишь для части площади.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Свет: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неравномерный. Банкетные залы тёмные, зал с OSB имеет небольшие окна.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Терраса: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большая, с видом на поля, но это бетонная площадка на плитке — без навеса, озеленения, мебели, освещения и ветрозащиты. В нынешнем виде это не готовая веранда, а потенциал, требующий вложений.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Главная проблема: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смешение банкетного глянца и шелла отпугивает сразу несколько типов арендаторов — каждый видит чужой недоамортизированный ремонт, который придётся демонтировать за свой счёт.</w:t>
      </w:r>
    </w:p>
    <w:p>
      <w:pPr>
        <w:spacing w:after="40" w:before="120"/>
        <w:jc w:val="center"/>
      </w:pPr>
      <w:r>
        <w:drawing>
          <wp:inline distT="0" distB="0" distL="0" distR="0">
            <wp:extent cx="3429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Georgia" w:cs="Georgia" w:eastAsia="Georgia" w:hAnsi="Georgia"/>
          <w:i/>
          <w:iCs/>
          <w:color w:val="5B6570"/>
          <w:sz w:val="17"/>
          <w:szCs w:val="17"/>
        </w:rPr>
        <w:t xml:space="preserve">План 2-го этажа, М 1:200. Красным — предлагаемые 430,5 м². Не выделенное помещение №20 (39,6 м²) — это лот №2, сдаваемый отдельно.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2.4. Помещение №2 — 39,6 м², 2 этаж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2019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431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80" w:before="70"/>
        <w:jc w:val="center"/>
      </w:pPr>
      <w:r>
        <w:rPr>
          <w:rFonts w:ascii="Georgia" w:cs="Georgia" w:eastAsia="Georgia" w:hAnsi="Georgia"/>
          <w:i/>
          <w:iCs/>
          <w:color w:val="5B6570"/>
          <w:sz w:val="17"/>
          <w:szCs w:val="17"/>
        </w:rPr>
        <w:t xml:space="preserve">Слева — интерьер помещения; справа — его положение на плане 2-го этажа (выделено красным).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Оценка.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Ремонт свежий и аккуратный: белые стены, светлый ламинат, точечные светильники. Но по плану помещение находится в середине этажа, а не у торца, и имеет одно небольшое арочное окно. Витрины и фасадного остекления нет. Это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кабинетная, а не торговая типология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. Название «торговая площадь» — фактическая ошибка: покупательского обзора нет, импульсной покупки быть не может. Для арендатора, ищущего торговлю, объект не подходит; для арендатора, ищущего кабинет под услуги, он не находится, потому что описан как торговый.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2.5. Помещение №3 — 45,3 м², 3 этаж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80" w:before="70"/>
        <w:jc w:val="center"/>
      </w:pPr>
      <w:r>
        <w:rPr>
          <w:rFonts w:ascii="Georgia" w:cs="Georgia" w:eastAsia="Georgia" w:hAnsi="Georgia"/>
          <w:i/>
          <w:iCs/>
          <w:color w:val="5B6570"/>
          <w:sz w:val="17"/>
          <w:szCs w:val="17"/>
        </w:rPr>
        <w:t xml:space="preserve">Слева направо: интерьер с ресепшн-стойкой, креслами и зеркалами; комната с линией из пяти окон; общий коридор 3-го этажа с креслами ожидания.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Оценка.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Объявление продаёт «просторный светлый офис», а фотографии показывают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оборудованный бьюти-салон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: ресепшн, парикмахерские кресла, зеркала, стеллаж с продукцией, постеры с причёсками. Потенциальный арендатор не понимает, что именно сдаётся — пустые кабинеты, работающий салон или доля в нём.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23A5F"/>
          <w:sz w:val="21"/>
          <w:szCs w:val="21"/>
        </w:rPr>
        <w:t xml:space="preserve">Главная находка по этому лоту.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По данным Яндекс.Карт, на 3-м этаже здания прекратили работу две бьюти-студии: «Студия красоты by Кулинич» (27 оценок) и «Студия тела Андросовой М.» (59 оценок, 57 отзывов, рейтинг 5,0). С высокой вероятностью помещение №3 — это площадь одной из них, сдаваемая «как есть». То есть объект представляет собой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готовую бьюти-студию под ключ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 — с отделкой, зонированием и мокрой точкой, — которую продают как офис в локации, где офисного рынка не существует. Это самая быстрая из возможных побед: смена текста объявления и фотографий без единого рубля вложений в ремонт.</w:t>
      </w:r>
    </w:p>
    <w:p>
      <w:pPr>
        <w:spacing w:after="190" w:before="60"/>
      </w:pPr>
      <w:r>
        <w:rPr>
          <w:rFonts w:ascii="Georgia" w:cs="Georgia" w:eastAsia="Georgia" w:hAnsi="Georgia"/>
          <w:i/>
          <w:iCs/>
          <w:color w:val="5B6570"/>
          <w:sz w:val="16"/>
          <w:szCs w:val="16"/>
        </w:rPr>
        <w:t xml:space="preserve">Оценка. Прямого подтверждения, что на фотографиях именно сдаваемый блок, получить не удалось; требует сверки с собственником.</w:t>
      </w:r>
    </w:p>
    <w:p>
      <w:pPr>
        <w:pStyle w:val="Heading1"/>
        <w:pageBreakBefore/>
        <w:pBdr>
          <w:bottom w:val="single" w:color="B8860B" w:sz="10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3. Бенчмарк арендных ставок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Собрано 43 сопоставимых предложения по четырём кластерам. Все ставки — запрашиваемые, без НДС и OPEX, если в источнике не указано иное. Пересчёт: ₽/м²/год = ставка ₽/мес × 12 ÷ площадь. Сбор данных — 18 сентября 2026 года.</w:t>
      </w:r>
    </w:p>
    <w:p>
      <w:pPr>
        <w:spacing w:after="170" w:before="120"/>
        <w:jc w:val="center"/>
      </w:pPr>
      <w:r>
        <w:drawing>
          <wp:inline distT="0" distB="0" distL="0" distR="0">
            <wp:extent cx="6191250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3.1. Ключевые сопоставимые предложения — та же улица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Решающее значение имеет кластер A: три конкурирующих объекта находятся в пределах 800 метров на той же улице Ленина. Это не косвенные аналоги, а прямая альтернатива, которую арендатор увидит в тот же день.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620"/>
        <w:gridCol w:w="2450"/>
        <w:gridCol w:w="600"/>
        <w:gridCol w:w="640"/>
        <w:gridCol w:w="1250"/>
        <w:gridCol w:w="1180"/>
        <w:gridCol w:w="3366"/>
      </w:tblGrid>
      <w:tr>
        <w:trPr>
          <w:tblHeader/>
        </w:trPr>
        <w:tc>
          <w:tcPr>
            <w:tcW w:type="dxa" w:w="62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Код</w:t>
            </w:r>
          </w:p>
        </w:tc>
        <w:tc>
          <w:tcPr>
            <w:tcW w:type="dxa" w:w="24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64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м²</w:t>
            </w:r>
          </w:p>
        </w:tc>
        <w:tc>
          <w:tcPr>
            <w:tcW w:type="dxa" w:w="12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₽/мес</w:t>
            </w:r>
          </w:p>
        </w:tc>
        <w:tc>
          <w:tcPr>
            <w:tcW w:type="dxa" w:w="118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₽/м²/год</w:t>
            </w:r>
          </w:p>
        </w:tc>
        <w:tc>
          <w:tcPr>
            <w:tcW w:type="dxa" w:w="336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Отделка, примечание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6"/>
                <w:szCs w:val="16"/>
              </w:rPr>
              <w:t xml:space="preserve">A1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2/2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315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378 000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6"/>
                <w:szCs w:val="16"/>
              </w:rPr>
              <w:t xml:space="preserve">14 400</w:t>
            </w:r>
          </w:p>
        </w:tc>
        <w:tc>
          <w:tcPr>
            <w:tcW w:type="dxa" w:w="3366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ЧЕРНОВАЯ отделка, все коммуникации</w:t>
            </w:r>
          </w:p>
        </w:tc>
      </w:tr>
      <w:tr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6"/>
                <w:szCs w:val="16"/>
              </w:rPr>
              <w:t xml:space="preserve">A2</w:t>
            </w:r>
          </w:p>
        </w:tc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2/3</w:t>
            </w:r>
          </w:p>
        </w:tc>
        <w:tc>
          <w:tcPr>
            <w:tcW w:type="dxa" w:w="64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38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95 000</w:t>
            </w:r>
          </w:p>
        </w:tc>
        <w:tc>
          <w:tcPr>
            <w:tcW w:type="dxa" w:w="11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6"/>
                <w:szCs w:val="16"/>
              </w:rPr>
              <w:t xml:space="preserve">30 000</w:t>
            </w:r>
          </w:p>
        </w:tc>
        <w:tc>
          <w:tcPr>
            <w:tcW w:type="dxa" w:w="3366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Современный ремонт. Опубликовано 15.09.2026 — клон нашего №2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A3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1/2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42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147 000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42 000</w:t>
            </w:r>
          </w:p>
        </w:tc>
        <w:tc>
          <w:tcPr>
            <w:tcW w:type="dxa" w:w="336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A4</w:t>
            </w:r>
          </w:p>
        </w:tc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1/2</w:t>
            </w:r>
          </w:p>
        </w:tc>
        <w:tc>
          <w:tcPr>
            <w:tcW w:type="dxa" w:w="64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175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525 000</w:t>
            </w:r>
          </w:p>
        </w:tc>
        <w:tc>
          <w:tcPr>
            <w:tcW w:type="dxa" w:w="11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36 000</w:t>
            </w:r>
          </w:p>
        </w:tc>
        <w:tc>
          <w:tcPr>
            <w:tcW w:type="dxa" w:w="336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Хорошее состояние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A7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30 — ТК «Ильинка Вилладж»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2/2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21,5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55 000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30 698</w:t>
            </w:r>
          </w:p>
        </w:tc>
        <w:tc>
          <w:tcPr>
            <w:tcW w:type="dxa" w:w="336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Отличное, «под офис либо услуги»</w:t>
            </w:r>
          </w:p>
        </w:tc>
      </w:tr>
      <w:tr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A8</w:t>
            </w:r>
          </w:p>
        </w:tc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30 — ТК «Ильинка Вилладж»</w:t>
            </w:r>
          </w:p>
        </w:tc>
        <w:tc>
          <w:tcPr>
            <w:tcW w:type="dxa" w:w="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2/2</w:t>
            </w:r>
          </w:p>
        </w:tc>
        <w:tc>
          <w:tcPr>
            <w:tcW w:type="dxa" w:w="64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33,6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68 000</w:t>
            </w:r>
          </w:p>
        </w:tc>
        <w:tc>
          <w:tcPr>
            <w:tcW w:type="dxa" w:w="11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24 286</w:t>
            </w:r>
          </w:p>
        </w:tc>
        <w:tc>
          <w:tcPr>
            <w:tcW w:type="dxa" w:w="336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Отличное, «торговля, услуги или офис»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A9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30 — ТК «Ильинка Вилладж»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1/2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60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330 000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66 000</w:t>
            </w:r>
          </w:p>
        </w:tc>
        <w:tc>
          <w:tcPr>
            <w:tcW w:type="dxa" w:w="336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A10</w:t>
            </w:r>
          </w:p>
        </w:tc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26 — ТЦ «Амбар-2»</w:t>
            </w:r>
          </w:p>
        </w:tc>
        <w:tc>
          <w:tcPr>
            <w:tcW w:type="dxa" w:w="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1/2</w:t>
            </w:r>
          </w:p>
        </w:tc>
        <w:tc>
          <w:tcPr>
            <w:tcW w:type="dxa" w:w="64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80,6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310 000</w:t>
            </w:r>
          </w:p>
        </w:tc>
        <w:tc>
          <w:tcPr>
            <w:tcW w:type="dxa" w:w="11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46 154</w:t>
            </w:r>
          </w:p>
        </w:tc>
        <w:tc>
          <w:tcPr>
            <w:tcW w:type="dxa" w:w="336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Косметический ремонт (наш же комплекс)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A11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26 — ТЦ «Амбар-2»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80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330 000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49 500</w:t>
            </w:r>
          </w:p>
        </w:tc>
        <w:tc>
          <w:tcPr>
            <w:tcW w:type="dxa" w:w="336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Мокрые точки, 2 входа; соседи ВкусВилл, Ароматный Мир</w:t>
            </w:r>
          </w:p>
        </w:tc>
      </w:tr>
      <w:tr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A13</w:t>
            </w:r>
          </w:p>
        </w:tc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4</w:t>
            </w:r>
          </w:p>
        </w:tc>
        <w:tc>
          <w:tcPr>
            <w:tcW w:type="dxa" w:w="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</w:t>
            </w:r>
          </w:p>
        </w:tc>
        <w:tc>
          <w:tcPr>
            <w:tcW w:type="dxa" w:w="64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110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200 000</w:t>
            </w:r>
          </w:p>
        </w:tc>
        <w:tc>
          <w:tcPr>
            <w:tcW w:type="dxa" w:w="11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21 818</w:t>
            </w:r>
          </w:p>
        </w:tc>
        <w:tc>
          <w:tcPr>
            <w:tcW w:type="dxa" w:w="336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Отдельное здание, 35 кВт, 2 входа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A20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Николо-Урюпино — ЖК «Гранель Аникеевский»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91,7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128 380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16 800</w:t>
            </w:r>
          </w:p>
        </w:tc>
        <w:tc>
          <w:tcPr>
            <w:tcW w:type="dxa" w:w="336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Без отделки, потолки 3,92 м; акция до 30.09.2026</w:t>
            </w:r>
          </w:p>
        </w:tc>
      </w:tr>
      <w:tr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C3</w:t>
            </w:r>
          </w:p>
        </w:tc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Глухово — ЖК «Новая Рига»</w:t>
            </w:r>
          </w:p>
        </w:tc>
        <w:tc>
          <w:tcPr>
            <w:tcW w:type="dxa" w:w="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</w:t>
            </w:r>
          </w:p>
        </w:tc>
        <w:tc>
          <w:tcPr>
            <w:tcW w:type="dxa" w:w="64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75,4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109 330</w:t>
            </w:r>
          </w:p>
        </w:tc>
        <w:tc>
          <w:tcPr>
            <w:tcW w:type="dxa" w:w="11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17 400</w:t>
            </w:r>
          </w:p>
        </w:tc>
        <w:tc>
          <w:tcPr>
            <w:tcW w:type="dxa" w:w="336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Без отделки, потолки 3 м. Опубликовано 18.09.2026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C4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Глухово, Романовская 5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1/8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51,1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68 985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16 200</w:t>
            </w:r>
          </w:p>
        </w:tc>
        <w:tc>
          <w:tcPr>
            <w:tcW w:type="dxa" w:w="336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Без ремонта</w:t>
            </w:r>
          </w:p>
        </w:tc>
      </w:tr>
      <w:tr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B1</w:t>
            </w:r>
          </w:p>
        </w:tc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Горки-2 — ТЦ «Наш Универмаг»</w:t>
            </w:r>
          </w:p>
        </w:tc>
        <w:tc>
          <w:tcPr>
            <w:tcW w:type="dxa" w:w="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3/3</w:t>
            </w:r>
          </w:p>
        </w:tc>
        <w:tc>
          <w:tcPr>
            <w:tcW w:type="dxa" w:w="64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55,9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150 000</w:t>
            </w:r>
          </w:p>
        </w:tc>
        <w:tc>
          <w:tcPr>
            <w:tcW w:type="dxa" w:w="11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32 200</w:t>
            </w:r>
          </w:p>
        </w:tc>
        <w:tc>
          <w:tcPr>
            <w:tcW w:type="dxa" w:w="336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«Под бутик, магазин, салон»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B2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Горки-2 — ТЦ «Наш Универмаг»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3/3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180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350 000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23 333</w:t>
            </w:r>
          </w:p>
        </w:tc>
        <w:tc>
          <w:tcPr>
            <w:tcW w:type="dxa" w:w="3366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Потолки 5 м, 150 парковок. В экспозиции ~11 месяцев</w:t>
            </w:r>
          </w:p>
        </w:tc>
      </w:tr>
      <w:tr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B3</w:t>
            </w:r>
          </w:p>
        </w:tc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Жуковка, дом класса «Люкс»</w:t>
            </w:r>
          </w:p>
        </w:tc>
        <w:tc>
          <w:tcPr>
            <w:tcW w:type="dxa" w:w="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</w:t>
            </w:r>
          </w:p>
        </w:tc>
        <w:tc>
          <w:tcPr>
            <w:tcW w:type="dxa" w:w="64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165 + терраса 46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600 000</w:t>
            </w:r>
          </w:p>
        </w:tc>
        <w:tc>
          <w:tcPr>
            <w:tcW w:type="dxa" w:w="11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43 636</w:t>
            </w:r>
          </w:p>
        </w:tc>
        <w:tc>
          <w:tcPr>
            <w:tcW w:type="dxa" w:w="336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Терраса в расчётную площадь НЕ включена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B5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Раздоры, 1 км Рублёво-Успенского ш. — БЦ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5/5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44,6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78 050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21 000</w:t>
            </w:r>
          </w:p>
        </w:tc>
        <w:tc>
          <w:tcPr>
            <w:tcW w:type="dxa" w:w="336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Офис</w:t>
            </w:r>
          </w:p>
        </w:tc>
      </w:tr>
      <w:tr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C2</w:t>
            </w:r>
          </w:p>
        </w:tc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Нахабино — ТЦ «Верный»</w:t>
            </w:r>
          </w:p>
        </w:tc>
        <w:tc>
          <w:tcPr>
            <w:tcW w:type="dxa" w:w="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2/2</w:t>
            </w:r>
          </w:p>
        </w:tc>
        <w:tc>
          <w:tcPr>
            <w:tcW w:type="dxa" w:w="64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37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37 200</w:t>
            </w:r>
          </w:p>
        </w:tc>
        <w:tc>
          <w:tcPr>
            <w:tcW w:type="dxa" w:w="11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12 065</w:t>
            </w:r>
          </w:p>
        </w:tc>
        <w:tc>
          <w:tcPr>
            <w:tcW w:type="dxa" w:w="336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Отделка с зонированием; ~6 месяцев в экспозиции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D5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БЦ «Красногорск Плаза», класс B+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2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56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132 305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28 351</w:t>
            </w:r>
          </w:p>
        </w:tc>
        <w:tc>
          <w:tcPr>
            <w:tcW w:type="dxa" w:w="336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18 км от объекта, у МКАД, метро и МЦД</w:t>
            </w:r>
          </w:p>
        </w:tc>
      </w:tr>
    </w:tbl>
    <w:p>
      <w:pPr>
        <w:spacing w:after="190" w:before="60"/>
      </w:pPr>
      <w:r>
        <w:rPr>
          <w:rFonts w:ascii="Georgia" w:cs="Georgia" w:eastAsia="Georgia" w:hAnsi="Georgia"/>
          <w:i/>
          <w:iCs/>
          <w:color w:val="5B6570"/>
          <w:sz w:val="16"/>
          <w:szCs w:val="16"/>
        </w:rPr>
        <w:t xml:space="preserve">Полный список из 43 компов с прямыми ссылками — в приложении. Источники: move.ru, mirkvartir.ru, shopandmall.ru, realestate.ru, gladston.ru, n1.ru. ЦИАН и Авито данные не отдали (captcha / WAF-блокировка).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3.2. Разброс по кластерам</w:t>
      </w:r>
    </w:p>
    <w:p>
      <w:pPr>
        <w:spacing w:after="170" w:before="120"/>
        <w:jc w:val="center"/>
      </w:pPr>
      <w:r>
        <w:drawing>
          <wp:inline distT="0" distB="0" distL="0" distR="0">
            <wp:extent cx="619125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3.3. Поправка на этаж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Опубликованных отраслевых коэффициентов «этаж торгового центра» в открытых источниках нет. Коэффициент выведен из парных предложений внутри одного здания — это методологически надёжнее, чем отраслевое среднее, поскольку все прочие факторы (локация, состояние, управляющая компания) зафиксированы.</w:t>
      </w:r>
    </w:p>
    <w:p>
      <w:pPr>
        <w:spacing w:after="170" w:before="12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Рабочий коэффициент: 2-й этаж = 0,70–0,75 к 1-му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при сопоставимой площади. Наиболее чистая пара — ТЦ «Ильинский», 42 м² на 1-м этаже против 38 м² на 2-м: разница 29%. Пары с большой разницей в площади (−60% и −63%) смешивают эффект этажа с эффектом размера блока и как коэффициент этажа использоваться не должны.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Третий этаж.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Прямых пар в выборке нет. По объектам B1 и B2 в Горки-2 третий этаж торгуется на уровне второго, но ликвидность существенно ниже: лот B2 находится в экспозиции около 11 месяцев — и это премиальная Рублёвка, а не село.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3.4. Поправка на площадь и на террасу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Малая площадь.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Внутри ТЦ «Ильинский» на 2-м этаже: 38 м² по 2 500 ₽/м²/мес против 315 м² по 1 200 ₽/м²/мес — премия 108%. На 1-м этаже: 49,9 м² по 4 500 против 175–250 м² по 3 000 — премия 50%. NF Group для малых ТЦ даёт 20 000–100 000 ₽/м²/год для блоков 0–50 м² против 14 000–25 000 для блоков 300–500 м².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Рабочий коэффициент: блок до 50 м² = ×1,5–2,0 к блоку 150–300 м² того же этажа.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Терраса.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Рыночной наценки за террасу в открытых источниках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не существует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. Единственный найденный комп с террасой (B3, Жуковка, 165 м² + терраса 46 м²) считает ставку на основную площадь, а террасу подаёт как бесплатный бонус. Нормативный коэффициент 0,3 из приказа Минстроя № 854/пр от 25.11.2016 относится к приведённой площади жилых помещений для ДДУ и к аренде не применяется.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Рекомендация: террасу следует либо добирать в площадь с коэффициентом 0,3, либо использовать как аргумент, оправдывающий верх диапазона, но не как надбавку сверх него.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3.5. Рыночный контекст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4100"/>
        <w:gridCol w:w="2700"/>
        <w:gridCol w:w="3306"/>
      </w:tblGrid>
      <w:tr>
        <w:trPr>
          <w:tblHeader/>
        </w:trPr>
        <w:tc>
          <w:tcPr>
            <w:tcW w:type="dxa" w:w="41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27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33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Источник, дата</w:t>
            </w:r>
          </w:p>
        </w:tc>
      </w:tr>
      <w:tr>
        <w:tc>
          <w:tcPr>
            <w:tcW w:type="dxa" w:w="4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Ключевая ставка ЦБ РФ</w:t>
            </w:r>
          </w:p>
        </w:tc>
        <w:tc>
          <w:tcPr>
            <w:tcW w:type="dxa" w:w="2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14,00% — сохранена, первая пауза в цикле снижения с июня 2025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Банк России, 11.09.2026</w:t>
            </w:r>
          </w:p>
        </w:tc>
      </w:tr>
      <w:tr>
        <w:tc>
          <w:tcPr>
            <w:tcW w:type="dxa" w:w="4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Вакансия в ТЦ Москвы</w:t>
            </w:r>
          </w:p>
        </w:tc>
        <w:tc>
          <w:tcPr>
            <w:tcW w:type="dxa" w:w="2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11% (+1 п.п. г/г); пустует 742 тыс. м²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IBC Real Estate via Retail.ru, 04.09.2026</w:t>
            </w:r>
          </w:p>
        </w:tc>
      </w:tr>
      <w:tr>
        <w:tc>
          <w:tcPr>
            <w:tcW w:type="dxa" w:w="4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Вакансия — стабилизированные ТЦ</w:t>
            </w:r>
          </w:p>
        </w:tc>
        <w:tc>
          <w:tcPr>
            <w:tcW w:type="dxa" w:w="2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12% (+1 п.п. г/г); прайм и ключевые — 7%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IBC Real Estate, 04.09.2026</w:t>
            </w:r>
          </w:p>
        </w:tc>
      </w:tr>
      <w:tr>
        <w:tc>
          <w:tcPr>
            <w:tcW w:type="dxa" w:w="4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Вакансия по методике NF Group</w:t>
            </w:r>
          </w:p>
        </w:tc>
        <w:tc>
          <w:tcPr>
            <w:tcW w:type="dxa" w:w="2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6,4% (+0,9 п.п. к декабрю 2025); прогноз роста до 8%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NF Group, I полугодие 2026</w:t>
            </w:r>
          </w:p>
        </w:tc>
      </w:tr>
      <w:tr>
        <w:tc>
          <w:tcPr>
            <w:tcW w:type="dxa" w:w="4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Окружные ТЦ</w:t>
            </w:r>
          </w:p>
        </w:tc>
        <w:tc>
          <w:tcPr>
            <w:tcW w:type="dxa" w:w="2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9,2% (+0,7 п.п.) — худший формат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NF Group, I полугодие 2026</w:t>
            </w:r>
          </w:p>
        </w:tc>
      </w:tr>
      <w:tr>
        <w:tc>
          <w:tcPr>
            <w:tcW w:type="dxa" w:w="4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Ставка торговой галереи</w:t>
            </w:r>
          </w:p>
        </w:tc>
        <w:tc>
          <w:tcPr>
            <w:tcW w:type="dxa" w:w="2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до 180 тыс. ₽/м²/год; якоря — до 50 тыс.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NF Group / РБК, 28.01.2026</w:t>
            </w:r>
          </w:p>
        </w:tc>
      </w:tr>
      <w:tr>
        <w:tc>
          <w:tcPr>
            <w:tcW w:type="dxa" w:w="4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Трафик окружных ТЦ</w:t>
            </w:r>
          </w:p>
        </w:tc>
        <w:tc>
          <w:tcPr>
            <w:tcW w:type="dxa" w:w="2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−5…−8% все шесть месяцев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NF Group, I полугодие 2026</w:t>
            </w:r>
          </w:p>
        </w:tc>
      </w:tr>
      <w:tr>
        <w:tc>
          <w:tcPr>
            <w:tcW w:type="dxa" w:w="4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Новые объекты</w:t>
            </w:r>
          </w:p>
        </w:tc>
        <w:tc>
          <w:tcPr>
            <w:tcW w:type="dxa" w:w="2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открываются с вакансией 30–35%, заполняются 1,5–2 года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NF Group, I полугодие 2026</w:t>
            </w:r>
          </w:p>
        </w:tc>
      </w:tr>
      <w:tr>
        <w:tc>
          <w:tcPr>
            <w:tcW w:type="dxa" w:w="4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Прогноз ставок 2026</w:t>
            </w:r>
          </w:p>
        </w:tc>
        <w:tc>
          <w:tcPr>
            <w:tcW w:type="dxa" w:w="2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стагнация или коррекция вниз, кроме премиального сегмента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NF Group, Nikoliers, CORE.XP, IBC</w:t>
            </w:r>
          </w:p>
        </w:tc>
      </w:tr>
      <w:tr>
        <w:tc>
          <w:tcPr>
            <w:tcW w:type="dxa" w:w="4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НДС</w:t>
            </w:r>
          </w:p>
        </w:tc>
        <w:tc>
          <w:tcPr>
            <w:tcW w:type="dxa" w:w="2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повышен до 22% — назван фактором давления на ритейл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РБК, 28.01.2026</w:t>
            </w:r>
          </w:p>
        </w:tc>
      </w:tr>
    </w:tbl>
    <w:tbl>
      <w:tblPr>
        <w:tblW w:type="dxa" w:w="10106"/>
        <w:tblBorders>
          <w:top w:val="none"/>
          <w:left w:val="single" w:color="123A5F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EEF2F6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23A5F"/>
                <w:sz w:val="21"/>
                <w:szCs w:val="21"/>
              </w:rPr>
              <w:t xml:space="preserve">Расхождение в оценках вакансии — и почему мы приводим обе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IBC Real Estate называет 11%, NF Group — 6,4%. Разница методологическая: NF Group считает по качественным торговым центрам определённого класса, IBC — по более широкой выборке. Мы приводим обе цифры, а не выбираем удобную.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Для нашего объекта важнее третья цифра: вакансия окружных (районных) ТЦ по NF Group — 9,2%, и это худший формат рынка. Наш объект относится именно к нему.</w:t>
            </w:r>
          </w:p>
        </w:tc>
      </w:tr>
    </w:tbl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3.6. Вердикт по каждому помещению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Помещение №1 — ставка занижена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Прямой конкурент A1 — тот же 2-й этаж, 315 м², через дорогу — предлагается за 14 400 ₽/м²/год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при черновой отделке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. Мы просим на 3,4% меньше, имея законченный ремонт, потолки 3,9 м и террасу. Диапазон NF Group для блоков 300–500 м² в малых ТЦ — 14 000–25 000 ₽/м²/год; мы находимся ниже нижней границы. NF Group прямо отмечает: «помещения без ремонта не пользуются высоким спросом и требуют участия собственников в отделке прямыми инвестициями или через скидку по аренде» — значит разница с A1 должна быть в нашу пользу, а не в ноль.</w:t>
      </w:r>
    </w:p>
    <w:tbl>
      <w:tblPr>
        <w:tblW w:type="dxa" w:w="10106"/>
        <w:tblBorders>
          <w:top w:val="none"/>
          <w:left w:val="single" w:color="123A5F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EEF2F6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23A5F"/>
                <w:sz w:val="21"/>
                <w:szCs w:val="21"/>
              </w:rPr>
              <w:t xml:space="preserve">Ключевой вывод по помещению №1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Помещение №1 три года стоит пустым, будучи дешевле рынка. Это доказывает, что цена для него не является узким местом. Ограничение лежит в продукте и в позиционировании: разнородная сборка залов, неблагоустроенная терраса и четыре взаимоисключающих назначения в одном тексте объявления.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Практический вывод: снижать ставку по №1 бессмысленно — это не сработало за три года и не сработает на четвёртый. Работать нужно с продуктом.</w:t>
            </w:r>
          </w:p>
        </w:tc>
      </w:tr>
    </w:tbl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Помещение №2 — ставка завышена на 27–60%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Коридор для малых блоков 2-го этажа в Ильинском: A8 — 24 286, A2 — 30 000, A7 — 30 698 ₽/м²/год. Мы просим 39 091. Объект A2 — практически клон нашего лота: 38 м² против 39,6, тот же этаж, тот же «современный ремонт», расстояние 100 метров — и он на 30% дешевле. При сохранении текущей ставки арендатор просто уходит к соседу. Целевая ставка: 28 000–32 000 ₽/м²/год.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Помещение №3 — ошибка позиционирования, подтверждена проверкой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realestate.ru: ноль офисных объявлений в с. Ильинское.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mirkvartir: из 191 объявления по «Ильинское село» одно с типом «офис» — и это целое здание 1 200 м² за 2,5 млн ₽/мес.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Все объявления по улице Ленина позиционируются как торговое или ПСН. Офис упоминается лишь как запасная опция: «под офис либо услуги», «торговля, услуги или офис».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Ближайший реальный офисный рынок — БЦ «Красногорск Плаза» (129 объявлений, класс B+), и это 18 км от объекта, у МКАД, с метро и МЦД. Ставка 2-го этажа там 20 200–28 400 ₽/м²/год.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Итог: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мы просим 25 960 ₽/м²/год — ровно в коридоре 2-го этажа класса B+ у МКАД — находясь на 3-м этаже районного ТЦ в селе без общественного транспорта. Наша ставка выше, чем у офисов в бизнес-центре в Раздорах на Рублёвке (19 000–21 000 ₽/м²/год, 5-й этаж). Слово «офис» нужно снять, помещение переупаковать как готовую студию услуг. Целевая ставка: 20 000–24 000 ₽/м²/год.</w:t>
      </w:r>
    </w:p>
    <w:p>
      <w:pPr>
        <w:pStyle w:val="Heading1"/>
        <w:pageBreakBefore/>
        <w:pBdr>
          <w:bottom w:val="single" w:color="B8860B" w:sz="10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4. Локационный анализ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4.1. Расположение и конкурентное окружение</w:t>
      </w:r>
    </w:p>
    <w:p>
      <w:pPr>
        <w:spacing w:after="170" w:before="120"/>
        <w:jc w:val="center"/>
      </w:pPr>
      <w:r>
        <w:drawing>
          <wp:inline distT="0" distB="0" distL="0" distR="0">
            <wp:extent cx="62865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single" w:color="EB5757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FDF0F0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EB5757"/>
                <w:sz w:val="21"/>
                <w:szCs w:val="21"/>
              </w:rPr>
              <w:t xml:space="preserve">Три факта, которые меняют постановку задачи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Первое. Объект стоит не на магистрали в привычном смысле. Автодорога А-109 южнее Новорижского шоссе имеет по одной полосе в каждом направлении — это прямая цитата из генерального плана округа. Не 2+2, а 1+1.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Второе. Микролокация уже занята. В 800 метрах на той же улице работает ТЦ «Ильинский»: GLA 6 300 м², 56 арендаторов, 120 машиномест, 70 000 посетителей в месяц, рейтинг 4,9. Наш объект не открывает ретейл-кластер, а находится внутри сложившегося.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Третье. 42 парковочных места против 120 у прямого конкурента. При автомобильном характере локации это структурное ограничение, а не деталь.</w:t>
            </w:r>
          </w:p>
        </w:tc>
      </w:tr>
    </w:tbl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Прямые конкуренты в радиусе 3 км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300"/>
        <w:gridCol w:w="2400"/>
        <w:gridCol w:w="3400"/>
        <w:gridCol w:w="2006"/>
      </w:tblGrid>
      <w:tr>
        <w:trPr>
          <w:tblHeader/>
        </w:trPr>
        <w:tc>
          <w:tcPr>
            <w:tcW w:type="dxa" w:w="23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Объект</w:t>
            </w:r>
          </w:p>
        </w:tc>
        <w:tc>
          <w:tcPr>
            <w:tcW w:type="dxa" w:w="24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Параметры</w:t>
            </w:r>
          </w:p>
        </w:tc>
        <w:tc>
          <w:tcPr>
            <w:tcW w:type="dxa" w:w="34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Якоря и содержание</w:t>
            </w:r>
          </w:p>
        </w:tc>
        <w:tc>
          <w:tcPr>
            <w:tcW w:type="dxa" w:w="20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Ставки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ТЦ «Ильинский»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ул. Ленина, 11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(~800 м)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Общая 10 200 м²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GLA 6 300 м²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 этажа + цоколь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120 машиномест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70 000 чел./мес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56 арендаторов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рейтинг 4,9 (33 отзыва)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ВкусВилл, «Да!», Эльдорадо, Fix Price, «Волконский», аптеки, кафе</w:t>
            </w:r>
          </w:p>
        </w:tc>
        <w:tc>
          <w:tcPr>
            <w:tcW w:type="dxa" w:w="20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14 400 –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48 000 ₽/м²/год</w:t>
            </w:r>
          </w:p>
        </w:tc>
      </w:tr>
      <w:tr>
        <w:tc>
          <w:tcPr>
            <w:tcW w:type="dxa" w:w="2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ТЦ «Амбар-2»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ул. Ленина, 26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(~25 м)</w:t>
            </w:r>
          </w:p>
        </w:tc>
        <w:tc>
          <w:tcPr>
            <w:tcW w:type="dxa" w:w="2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Общая 1 414 м²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открыт в 2026 году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тот же собственник</w:t>
            </w:r>
          </w:p>
        </w:tc>
        <w:tc>
          <w:tcPr>
            <w:tcW w:type="dxa" w:w="3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ВкусВилл, МФЦ Московской области, Отделение почтовой связи, «Ароматный Мир», автомойка-детейлинг Dr. Duck, кальянная SB Lounge</w:t>
            </w:r>
          </w:p>
        </w:tc>
        <w:tc>
          <w:tcPr>
            <w:tcW w:type="dxa" w:w="20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46 154 –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49 500 ₽/м²/год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(1 этаж)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ТК «Ильинка Вилладж»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ул. Ленина, 30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(~250 м)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GLA не раскрыт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рейтинг 4,4 (11 отзывов)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внутренний двор,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летняя веранда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Премиальный формат: бутики одежды, ресторан со звездой Michelin, сувениры, салон красоты, ювелирный, винотека, цветы, страхование</w:t>
            </w:r>
          </w:p>
        </w:tc>
        <w:tc>
          <w:tcPr>
            <w:tcW w:type="dxa" w:w="20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24 286 –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66 000 ₽/м²/год</w:t>
            </w:r>
          </w:p>
        </w:tc>
      </w:tr>
    </w:tbl>
    <w:tbl>
      <w:tblPr>
        <w:tblW w:type="dxa" w:w="10106"/>
        <w:tblBorders>
          <w:top w:val="none"/>
          <w:left w:val="single" w:color="B8860B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FBF6EC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60B"/>
                <w:sz w:val="21"/>
                <w:szCs w:val="21"/>
              </w:rPr>
              <w:t xml:space="preserve">Самый неудобный вывод исследования: конкурент внутри периметра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Корпус II («Амбар-2», ул. Ленина, 26) принадлежит тому же собственнику и открылся весной–летом 2026 года. Датировка по первым отзывам: ВкусВилл — 07.04.2026, SB Lounge — 30.07.2026, Dr. Duck — 10.08.2026.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Туда ушли ВкусВилл, МФЦ, отделение Почты России и «Ароматный Мир» — то есть самые сильные новые арендаторы за последние годы достались новому корпусу, а не 515 вакантным метрам в старом.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Это означает, что часть трёхлетней вакансии Корпуса I объясняется не рынком, а внутренним приоритетом: лучший продукт предлагался в Корпус II. Отзыв посетителя от 08.02.2026 подтверждает хронологию: «Отличная локация… Ждём открытия нового корпуса».</w:t>
            </w:r>
          </w:p>
        </w:tc>
      </w:tr>
    </w:tbl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Чем заполнены 2–3 этажи малых подмосковных ТЦ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Это прямой ориентир. Ниже — фактическая поэтажная раскладка ТЦ «Октябрь» в Павловской Слободе: четыре уровня, около 35 арендаторов, потолки 3,92–3,94 м, то есть ближайший функциональный аналог нашего объекта.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1500"/>
        <w:gridCol w:w="5300"/>
        <w:gridCol w:w="3306"/>
      </w:tblGrid>
      <w:tr>
        <w:trPr>
          <w:tblHeader/>
        </w:trPr>
        <w:tc>
          <w:tcPr>
            <w:tcW w:type="dxa" w:w="15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Уровень</w:t>
            </w:r>
          </w:p>
        </w:tc>
        <w:tc>
          <w:tcPr>
            <w:tcW w:type="dxa" w:w="53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Арендаторы</w:t>
            </w:r>
          </w:p>
        </w:tc>
        <w:tc>
          <w:tcPr>
            <w:tcW w:type="dxa" w:w="33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Что это означает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5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СДЭК, два маникюрных салона, страхование, FourBikes (велосипеды), солярий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Логистика, бьюти и сезонный товар</w:t>
            </w:r>
          </w:p>
        </w:tc>
      </w:tr>
      <w:tr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 этаж</w:t>
            </w:r>
          </w:p>
        </w:tc>
        <w:tc>
          <w:tcPr>
            <w:tcW w:type="dxa" w:w="5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Fix Price, ПВЗ Wildberries, ПВЗ OZON, Яндекс Маркет, аптека «Столички», оптика, химчистка «Диана», банк, табак, «Ермолино», «Хинкалье», кондитерская, AM Wine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Всё трафикообразующее: FMCG, три ПВЗ, аптека, банк, общепит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 этаж</w:t>
            </w:r>
          </w:p>
        </w:tc>
        <w:tc>
          <w:tcPr>
            <w:tcW w:type="dxa" w:w="5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DNS, Ламода, «Нейрополис», «Лондон Тайм» (английский), курсы ОГЭ/ЕГЭ, «Весёлая Затея», студия творчества, «Лотос» (массаж), ателье «Шить Легко», барбершоп, «Даймонд Турс»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/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Плюс свободные 98 м², предлагаемые «под стоматологию, кафе или фитнес»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Электроника, шоурум маркетплейса, три образовательных арендатора подряд, услуги и бьюти</w:t>
            </w:r>
          </w:p>
        </w:tc>
      </w:tr>
      <w:tr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3 этаж</w:t>
            </w:r>
          </w:p>
        </w:tc>
        <w:tc>
          <w:tcPr>
            <w:tcW w:type="dxa" w:w="5300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Маникюр/педикюр, Energetica (студия танцев), студия творчества, страхование — всего около четырёх арендаторов</w:t>
            </w:r>
          </w:p>
        </w:tc>
        <w:tc>
          <w:tcPr>
            <w:tcW w:type="dxa" w:w="3306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Практически только услуги и студии. Этаж заполнен слабо — это зона наибольшего риска и на нашем объекте тоже</w:t>
            </w:r>
          </w:p>
        </w:tc>
      </w:tr>
    </w:tbl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Паттерн подтверждается на других объектах: ТЦ «Княжий двор» на Новорижском шоссе держит на верхних уровнях фитнес-клуб, медцентр, аптеку, салон красоты, химчистку, ателье и ремонт часов; «Павлово Подворье» — школу танцев TODES и детский центр; Vegas Крокус Сити размещает KidZania на 2–3 этажах; Dream House в Барвихе отдал третий этаж целиком мебели, интерьеру и антикварным галереям.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Выведенное правило: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классический товарный ритейл на 2–3 этажи малого подмосковного ТЦ не идёт. Ни в одном из изученных объектов верхние этажи не заняты сетевой одеждой или обувью. Верх берут четыре категории, в порядке надёжности: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детское допобразование и развивающие студии; спорт и танцы; бьюти и медицина; бытовые и финансовые услуги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. Общий признак — к этим арендаторам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едут по записи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, им не нужен витринный трафик. Побочная выгода: запись распределяет визиты по времени и снимает пиковую нагрузку на 42 парковочных места.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4.2. Жители соседних локаций</w:t>
      </w:r>
    </w:p>
    <w:tbl>
      <w:tblPr>
        <w:tblW w:type="dxa" w:w="10106"/>
        <w:tblBorders>
          <w:top w:val="none"/>
          <w:left w:val="single" w:color="B8860B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FBF6EC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60B"/>
                <w:sz w:val="21"/>
                <w:szCs w:val="21"/>
              </w:rPr>
              <w:t xml:space="preserve">Две поправки к исходной постановке задачи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ЖК «Ильинские луга» строит ПИК (ООО «СЗ „ГрадОлимп“»), а не «Гранель». Это подтверждено постановлением администрации округа. «Гранель» в этой зоне строит другой проект — ЖК «Новая Рига» в Глухово, а также ЖК «Аникеевский» и «Ильинойс».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ЖК «Первый Ильинский» и ЖК «Новое Глухово» не подтверждаются: их нет ни в официальном перечне строящихся ЖК округа, ни в прогнозе социально-экономического развития. Реальные проекты в Глухово — «Новая Рига» (Гранель) и «Рублёвское предместье» («Новая усадьба»).</w:t>
            </w:r>
          </w:p>
        </w:tc>
      </w:tr>
    </w:tbl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Главное.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Официальная численность села Ильинское —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478 человек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 (перепись 2010 года) — как маркетинговая база нерелевантна. Реальная аудитория формируется тремя проектами комплексного освоения в радиусе 1,3–2,9 км с суммарной проектной ёмкостью около 57–65 тыс. человек, из которых на сегодня реализовано примерно треть.</w:t>
      </w:r>
    </w:p>
    <w:p>
      <w:pPr>
        <w:spacing w:after="170" w:before="120"/>
        <w:jc w:val="center"/>
      </w:pPr>
      <w:r>
        <w:drawing>
          <wp:inline distT="0" distB="0" distL="0" distR="0">
            <wp:extent cx="6286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3300"/>
        <w:gridCol w:w="1700"/>
        <w:gridCol w:w="2200"/>
        <w:gridCol w:w="2906"/>
      </w:tblGrid>
      <w:tr>
        <w:trPr>
          <w:tblHeader/>
        </w:trPr>
        <w:tc>
          <w:tcPr>
            <w:tcW w:type="dxa" w:w="33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Населённый пункт</w:t>
            </w:r>
          </w:p>
        </w:tc>
        <w:tc>
          <w:tcPr>
            <w:tcW w:type="dxa" w:w="17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Численность</w:t>
            </w:r>
          </w:p>
        </w:tc>
        <w:tc>
          <w:tcPr>
            <w:tcW w:type="dxa" w:w="22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Источник</w:t>
            </w:r>
          </w:p>
        </w:tc>
        <w:tc>
          <w:tcPr>
            <w:tcW w:type="dxa" w:w="29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Расстояние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с. Ильинское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478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п. Ильинское-Усово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1,5 км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д. Глухово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291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1,9 км</w:t>
            </w:r>
          </w:p>
        </w:tc>
      </w:tr>
      <w:tr>
        <w:tc>
          <w:tcPr>
            <w:tcW w:type="dxa" w:w="3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п. Новый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2 237</w:t>
            </w:r>
          </w:p>
        </w:tc>
        <w:tc>
          <w:tcPr>
            <w:tcW w:type="dxa" w:w="22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2,8 км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п. Инженерный-1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1 134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3,9 км</w:t>
            </w:r>
          </w:p>
        </w:tc>
      </w:tr>
      <w:tr>
        <w:tc>
          <w:tcPr>
            <w:tcW w:type="dxa" w:w="3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с. Петрово-Дальнее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2 001</w:t>
            </w:r>
          </w:p>
        </w:tc>
        <w:tc>
          <w:tcPr>
            <w:tcW w:type="dxa" w:w="22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4,5 км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п. Мечниково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2 427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4,8 км</w:t>
            </w:r>
          </w:p>
        </w:tc>
      </w:tr>
      <w:tr>
        <w:tc>
          <w:tcPr>
            <w:tcW w:type="dxa" w:w="3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п. Архангельское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4,9 км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с. Николо-Урюпино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693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5,1 км</w:t>
            </w:r>
          </w:p>
        </w:tc>
      </w:tr>
      <w:tr>
        <w:tc>
          <w:tcPr>
            <w:tcW w:type="dxa" w:w="3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г.о. Красногорск — всего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345 865</w:t>
            </w:r>
          </w:p>
        </w:tc>
        <w:tc>
          <w:tcPr>
            <w:tcW w:type="dxa" w:w="22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Росстат, 01.01.2025</w:t>
            </w:r>
          </w:p>
        </w:tc>
        <w:tc>
          <w:tcPr>
            <w:tcW w:type="dxa" w:w="29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90" w:before="60"/>
      </w:pPr>
      <w:r>
        <w:rPr>
          <w:rFonts w:ascii="Georgia" w:cs="Georgia" w:eastAsia="Georgia" w:hAnsi="Georgia"/>
          <w:i/>
          <w:iCs/>
          <w:color w:val="5B6570"/>
          <w:sz w:val="16"/>
          <w:szCs w:val="16"/>
        </w:rPr>
        <w:t xml:space="preserve">Расстояния — по прямой, по геокодированию OpenStreetMap; оценка. Для большинства сельских населённых пунктов последняя опубликованная цифра — перепись 2010 года: данные переписи 2021 по ним в открытом доступе отсутствуют.</w:t>
      </w:r>
    </w:p>
    <w:tbl>
      <w:tblPr>
        <w:tblW w:type="dxa" w:w="10106"/>
        <w:tblBorders>
          <w:top w:val="none"/>
          <w:left w:val="single" w:color="EB5757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FDF0F0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EB5757"/>
                <w:sz w:val="21"/>
                <w:szCs w:val="21"/>
              </w:rPr>
              <w:t xml:space="preserve">Критическое допущение: радиус не равен доступности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Москва-река отделяет Ильинское от Рублёвки. Жуковка и Барвиха находятся в 2,2 и 3,1 км по прямой, но в 15–20 км по дороге: ближайшие мосты — у Петрово-Дальнего и Успенского.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Поэтому все радиусные оценки в этом разделе следует считать верхней границей. Для решения об аренде нужна изохрона 10/15/20 минут, а не круг. Она в рамках этого исследования не строилась и вынесена в перечень следующих шагов.</w:t>
            </w:r>
          </w:p>
        </w:tc>
      </w:tr>
    </w:tbl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Новое жильё — главный драйвер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100"/>
        <w:gridCol w:w="1700"/>
        <w:gridCol w:w="1650"/>
        <w:gridCol w:w="1700"/>
        <w:gridCol w:w="1250"/>
        <w:gridCol w:w="1706"/>
      </w:tblGrid>
      <w:tr>
        <w:trPr>
          <w:tblHeader/>
        </w:trPr>
        <w:tc>
          <w:tcPr>
            <w:tcW w:type="dxa" w:w="21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Проект</w:t>
            </w:r>
          </w:p>
        </w:tc>
        <w:tc>
          <w:tcPr>
            <w:tcW w:type="dxa" w:w="17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6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Проектная ёмкость</w:t>
            </w:r>
          </w:p>
        </w:tc>
        <w:tc>
          <w:tcPr>
            <w:tcW w:type="dxa" w:w="17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12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Расстояние</w:t>
            </w:r>
          </w:p>
        </w:tc>
        <w:tc>
          <w:tcPr>
            <w:tcW w:type="dxa" w:w="17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Статус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ЖК «Ильинские луга»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ПИК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(СЗ «ГрадОлимп»)</w:t>
            </w:r>
          </w:p>
        </w:tc>
        <w:tc>
          <w:tcPr>
            <w:tcW w:type="dxa" w:w="16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44,9 тыс. чел.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1 257,8 тыс. м²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КОТ на 215 га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1,7 км</w:t>
            </w:r>
          </w:p>
        </w:tc>
        <w:tc>
          <w:tcPr>
            <w:tcW w:type="dxa" w:w="17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Ввод 2024 — 62,4 тыс. м²;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план 2025 — 95,9 тыс. м².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Сроки до III кв. 2028</w:t>
            </w:r>
          </w:p>
        </w:tc>
      </w:tr>
      <w:tr>
        <w:tc>
          <w:tcPr>
            <w:tcW w:type="dxa" w:w="2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ЖК «Новая Рига»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~4,0 тыс. чел.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394,6 тыс. м²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9 корпусов, 37,6 га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1,3–2 км</w:t>
            </w:r>
          </w:p>
        </w:tc>
        <w:tc>
          <w:tcPr>
            <w:tcW w:type="dxa" w:w="17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Ввод 2024 — 30,2 тыс. м²;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план 2025 — 30,9 тыс. м².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Сдача 2021–2027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ЖК «Рублёвское предместье»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«Новая усадьба»</w:t>
            </w:r>
          </w:p>
        </w:tc>
        <w:tc>
          <w:tcPr>
            <w:tcW w:type="dxa" w:w="16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29,5 га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53 корпуса 3–7 эт.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1,3 км</w:t>
            </w:r>
          </w:p>
        </w:tc>
        <w:tc>
          <w:tcPr>
            <w:tcW w:type="dxa" w:w="17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Сдано 7 корпусов,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готовятся ещё 9</w:t>
            </w:r>
          </w:p>
        </w:tc>
      </w:tr>
      <w:tr>
        <w:tc>
          <w:tcPr>
            <w:tcW w:type="dxa" w:w="2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ЖК «Riga Hills»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ГК UNION</w:t>
            </w:r>
          </w:p>
        </w:tc>
        <w:tc>
          <w:tcPr>
            <w:tcW w:type="dxa" w:w="16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4,1 тыс. чел.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5 корпусов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2,9 км</w:t>
            </w:r>
          </w:p>
        </w:tc>
        <w:tc>
          <w:tcPr>
            <w:tcW w:type="dxa" w:w="17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IV кв. 2025 и IV кв. 2026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ЖК «Ильинойс»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190 тыс. м²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&gt;2 600 квартир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7,2 км</w:t>
            </w:r>
          </w:p>
        </w:tc>
        <w:tc>
          <w:tcPr>
            <w:tcW w:type="dxa" w:w="17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Корп. 2 — IV кв. 2025;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корп. 3 — III кв. 2028</w:t>
            </w:r>
          </w:p>
        </w:tc>
      </w:tr>
      <w:tr>
        <w:tc>
          <w:tcPr>
            <w:tcW w:type="dxa" w:w="2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ЖК «Аникеевский»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6,7 тыс. чел.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8,2 км</w:t>
            </w:r>
          </w:p>
        </w:tc>
        <w:tc>
          <w:tcPr>
            <w:tcW w:type="dxa" w:w="17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Ввод 2024 — 32,1 тыс. м²</w:t>
            </w:r>
          </w:p>
        </w:tc>
      </w:tr>
    </w:tbl>
    <w:p>
      <w:pPr>
        <w:spacing w:after="190" w:before="60"/>
      </w:pPr>
      <w:r>
        <w:rPr>
          <w:rFonts w:ascii="Georgia" w:cs="Georgia" w:eastAsia="Georgia" w:hAnsi="Georgia"/>
          <w:i/>
          <w:iCs/>
          <w:color w:val="5B6570"/>
          <w:sz w:val="16"/>
          <w:szCs w:val="16"/>
        </w:rPr>
        <w:t xml:space="preserve">Источник: постановление администрации г.о. Красногорск № 2760/10 от 16.10.2025 «О прогнозе социально-экономического развития на 2026–2028 годы», Приложения 1 и 2; Доклад главы округа за 2025 год (опубликован 30.04.2026).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Доказательство заселения, а не проектных намерений.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В 2025 году введены два дошкольных отделения Ильинской средней школы — на 200 мест (ул. Архангельская, 12) и на 350 мест (ул. Заповедная, 18). Работает школа на 1 500 мест. Проектом предусмотрены 4 школы и 9 детских садов. Муниципалитет строит социальную инфраструктуру там, где уже живут люди, — это более надёжный индикатор, чем данные застройщика.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Сколько жителей добавится и почему не 57 тысяч за три года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Поправка к коэффициенту.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В исходной постановке предлагалось считать 2,3–2,5 человека на квартиру. Официальные цифры дают меньше: 44,9 тыс. человек на 1 257,8 тыс. м² =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28,0 м² на человека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, что при средней квартире около 52 м² соответствует ≈1,9 человека на квартиру. Расчёт по коэффициенту 2,3–2,5 завышает прогноз на 15–25%.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800"/>
        <w:gridCol w:w="3600"/>
        <w:gridCol w:w="3706"/>
      </w:tblGrid>
      <w:tr>
        <w:trPr>
          <w:tblHeader/>
        </w:trPr>
        <w:tc>
          <w:tcPr>
            <w:tcW w:type="dxa" w:w="28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Горизонт</w:t>
            </w:r>
          </w:p>
        </w:tc>
        <w:tc>
          <w:tcPr>
            <w:tcW w:type="dxa" w:w="3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Радиус 5 км</w:t>
            </w:r>
          </w:p>
        </w:tc>
        <w:tc>
          <w:tcPr>
            <w:tcW w:type="dxa" w:w="37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Радиус 10 км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Сейчас (2026)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40–50 тыс. чел.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(центральная оценка ~45)</w:t>
            </w:r>
          </w:p>
        </w:tc>
        <w:tc>
          <w:tcPr>
            <w:tcW w:type="dxa" w:w="37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190–235 тыс. чел.</w:t>
            </w:r>
          </w:p>
        </w:tc>
      </w:tr>
      <w:tr>
        <w:tc>
          <w:tcPr>
            <w:tcW w:type="dxa" w:w="28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2029 (прогноз)</w:t>
            </w:r>
          </w:p>
        </w:tc>
        <w:tc>
          <w:tcPr>
            <w:tcW w:type="dxa" w:w="3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B7A3D"/>
                <w:sz w:val="17"/>
                <w:szCs w:val="17"/>
              </w:rPr>
              <w:t xml:space="preserve">50–62 тыс. чел.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B7A3D"/>
                <w:sz w:val="17"/>
                <w:szCs w:val="17"/>
              </w:rPr>
              <w:t xml:space="preserve">+8–12 тыс. зарегистрированных</w:t>
            </w:r>
          </w:p>
        </w:tc>
        <w:tc>
          <w:tcPr>
            <w:tcW w:type="dxa" w:w="37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B7A3D"/>
                <w:sz w:val="17"/>
                <w:szCs w:val="17"/>
              </w:rPr>
              <w:t xml:space="preserve">205–255 тыс. чел.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B7A3D"/>
                <w:sz w:val="17"/>
                <w:szCs w:val="17"/>
              </w:rPr>
              <w:t xml:space="preserve">+14–20 тыс.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Полная проектная ёмкость всех КОТ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+57–65 тыс. чел.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горизонт за пределами 2030 года</w:t>
            </w:r>
          </w:p>
        </w:tc>
        <w:tc>
          <w:tcPr>
            <w:tcW w:type="dxa" w:w="37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Borders>
          <w:top w:val="none"/>
          <w:left w:val="single" w:color="EB5757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FDF0F0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EB5757"/>
                <w:sz w:val="21"/>
                <w:szCs w:val="21"/>
              </w:rPr>
              <w:t xml:space="preserve">Предостережение по цифре «57 тысяч»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Публикация МК от 29.10.2025 сообщает, что «на территории поселения Ильинское ожидается прирост населения на 57 тысяч человек к 2028 году». Цифра 44,9 тыс. по «Ильинским лугам» в ней совпадает с постановлением, то есть источник достоверен.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Но 57 тысяч — это проектная ёмкость, а не фактическое заселение к 2028 году. При темпах ввода 60–96 тыс. м² в год и объёме проекта 1 257,8 тыс. м² горизонт полного освоения уходит далеко за 2030 год. Переносить 57 тысяч на трёхлетний горизонт нельзя.</w:t>
            </w:r>
          </w:p>
        </w:tc>
      </w:tr>
    </w:tbl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4.3. Трафик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Заявленная цифра и что она означает на самом деле</w:t>
      </w:r>
    </w:p>
    <w:tbl>
      <w:tblPr>
        <w:tblW w:type="dxa" w:w="10106"/>
        <w:tblBorders>
          <w:top w:val="none"/>
          <w:left w:val="single" w:color="EB5757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FDF0F0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EB5757"/>
                <w:sz w:val="21"/>
                <w:szCs w:val="21"/>
              </w:rPr>
              <w:t xml:space="preserve">Проверка заявления «50 000 автомобилей в сутки»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В презентации собственника (создана 23.06.2023) указано: «Стабильно высокий а/м трафик (50 000 а/м в сутки)». Независимого подтверждения этой цифры для сечения у объекта не найдено.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Ближайшая похожая величина в источниках — около 57 тыс. автомобилей в сутки — относится к узлу Волоколамское × Ильинское шоссе в городе Красногорск: это примерно 10 км от объекта, и там дорога имеет четыре полосы. У нас — одна полоса в каждом направлении.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Перенос этой цифры на село Ильинское завышает трафик в 4–5 раз. Мы не утверждаем, что цифра приведена недобросовестно: скорее всего, это добросовестная ошибка переноса. Но использовать её в переговорах с сетевым арендатором опасно — его аналитики проверят.</w:t>
            </w:r>
          </w:p>
        </w:tc>
      </w:tr>
    </w:tbl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Что есть на самом деле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800"/>
        <w:gridCol w:w="2700"/>
        <w:gridCol w:w="1400"/>
        <w:gridCol w:w="3206"/>
      </w:tblGrid>
      <w:tr>
        <w:trPr>
          <w:tblHeader/>
        </w:trPr>
        <w:tc>
          <w:tcPr>
            <w:tcW w:type="dxa" w:w="28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7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14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Статус</w:t>
            </w:r>
          </w:p>
        </w:tc>
        <w:tc>
          <w:tcPr>
            <w:tcW w:type="dxa" w:w="32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Источник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Дорога</w:t>
            </w:r>
          </w:p>
        </w:tc>
        <w:tc>
          <w:tcPr>
            <w:tcW w:type="dxa" w:w="2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А-109 «Ильинское шоссе», федеральная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B7A3D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Генплан г.о. Красногорск, 2018</w:t>
            </w:r>
          </w:p>
        </w:tc>
      </w:tr>
      <w:tr>
        <w:tc>
          <w:tcPr>
            <w:tcW w:type="dxa" w:w="28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Полосность у объекта</w:t>
            </w:r>
          </w:p>
        </w:tc>
        <w:tc>
          <w:tcPr>
            <w:tcW w:type="dxa" w:w="2700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«южнее Новорижского шоссе — по 1 полосе в каждом направлении»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B7A3D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Генплан, дословная цитата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Техническая категория</w:t>
            </w:r>
          </w:p>
        </w:tc>
        <w:tc>
          <w:tcPr>
            <w:tcW w:type="dxa" w:w="2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II категория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Генплан, 2018</w:t>
            </w:r>
          </w:p>
        </w:tc>
      </w:tr>
      <w:tr>
        <w:tc>
          <w:tcPr>
            <w:tcW w:type="dxa" w:w="28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Единственный официальный замер</w:t>
            </w:r>
          </w:p>
        </w:tc>
        <w:tc>
          <w:tcPr>
            <w:tcW w:type="dxa" w:w="2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3 200 ед./час на участке от М-9 «Балтия» до Ильинского подъезда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Генплан, табл. 2.2.1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Доля грузового транспорта</w:t>
            </w:r>
          </w:p>
        </w:tc>
        <w:tc>
          <w:tcPr>
            <w:tcW w:type="dxa" w:w="2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~15% — для ТЦ это «пустой» трафик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Генплан, табл. 2.2.1</w:t>
            </w:r>
          </w:p>
        </w:tc>
      </w:tr>
      <w:tr>
        <w:tc>
          <w:tcPr>
            <w:tcW w:type="dxa" w:w="28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Интенсивность у объекта</w:t>
            </w:r>
          </w:p>
        </w:tc>
        <w:tc>
          <w:tcPr>
            <w:tcW w:type="dxa" w:w="2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11 000–16 000 авт./сут (среднегодовая);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18 000–24 000 в пик выходного дня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F2994A"/>
                <w:sz w:val="17"/>
                <w:szCs w:val="17"/>
              </w:rPr>
              <w:t xml:space="preserve">ОЦЕНКА</w:t>
            </w:r>
          </w:p>
        </w:tc>
        <w:tc>
          <w:tcPr>
            <w:tcW w:type="dxa" w:w="32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Три независимых метода расчёта</w:t>
            </w:r>
          </w:p>
        </w:tc>
      </w:tr>
    </w:tbl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Оценка 11–16 тыс. автомобилей в сутки получена тремя независимыми способами, дающими сходящийся результат: от технической категории дороги по СП 34.13330.2021 (8–16 тыс.), от практической пропускной способности дороги 1+1 с примыканиями (11–16 тыс.) и от сопоставления с Путилковским шоссе в той же таблице генплана (12–17 тыс.). Степень доверия — средняя; перед инвестиционным решением необходим собственный замер по ГОСТ 32965-2014.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Структура потока: транзита практически нет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3000"/>
        <w:gridCol w:w="1300"/>
        <w:gridCol w:w="5806"/>
      </w:tblGrid>
      <w:tr>
        <w:trPr>
          <w:tblHeader/>
        </w:trPr>
        <w:tc>
          <w:tcPr>
            <w:tcW w:type="dxa" w:w="30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Компонента</w:t>
            </w:r>
          </w:p>
        </w:tc>
        <w:tc>
          <w:tcPr>
            <w:tcW w:type="dxa" w:w="13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Доля</w:t>
            </w:r>
          </w:p>
        </w:tc>
        <w:tc>
          <w:tcPr>
            <w:tcW w:type="dxa" w:w="58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Комментарий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Местный трафик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55–70%</w:t>
            </w:r>
          </w:p>
        </w:tc>
        <w:tc>
          <w:tcPr>
            <w:tcW w:type="dxa" w:w="5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Ильинское, Ильинское-Усово, Глухово, Николо-Урюпино, коттеджные посёлки. Растёт за счёт «Ильинских лугов»</w:t>
            </w:r>
          </w:p>
        </w:tc>
      </w:tr>
      <w:tr>
        <w:tc>
          <w:tcPr>
            <w:tcW w:type="dxa" w:w="30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Связь Новая Рига ↔ Рублёвка</w:t>
            </w:r>
          </w:p>
        </w:tc>
        <w:tc>
          <w:tcPr>
            <w:tcW w:type="dxa" w:w="1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20–30%</w:t>
            </w:r>
          </w:p>
        </w:tc>
        <w:tc>
          <w:tcPr>
            <w:tcW w:type="dxa" w:w="58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А-109 работает как хорда-дублёр, а не как основной маршрут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Дачный и рекреационный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10–20%, сезонно</w:t>
            </w:r>
          </w:p>
        </w:tc>
        <w:tc>
          <w:tcPr>
            <w:tcW w:type="dxa" w:w="5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Архангельское, Николина Гора, садовые товарищества</w:t>
            </w:r>
          </w:p>
        </w:tc>
      </w:tr>
      <w:tr>
        <w:tc>
          <w:tcPr>
            <w:tcW w:type="dxa" w:w="30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Грузовой</w:t>
            </w:r>
          </w:p>
        </w:tc>
        <w:tc>
          <w:tcPr>
            <w:tcW w:type="dxa" w:w="1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~15%</w:t>
            </w:r>
          </w:p>
        </w:tc>
        <w:tc>
          <w:tcPr>
            <w:tcW w:type="dxa" w:w="58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Промзоны по направлению: «Экстра-М», «Уникма», «Союзснаб», «Бецема», «Кнауф-Гипс». Для ТЦ нецелевой</w:t>
            </w:r>
          </w:p>
        </w:tc>
      </w:tr>
    </w:tbl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Вывод.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Классического сквозного транзита у объекта практически нет: А-109 по характеру — тупиковая радиальная дорога, упирающаяся в Рублёвку и правительственные резиденции со спецподъездами.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Ставка на «транзитный трафик» для этого объекта не обоснована.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 Рабочая модель — местный центр обслуживания плюс целевые поездки. Это, кстати, ровно та модель, под которую подходят арендаторы верхних этажей из раздела 4.1.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Пешеходный трафик: подтверждаем, что он незначим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478 жителей села физически не формируют пешеходного потока для торгового центра.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Через улицу Ленина проходит по существу один магистральный автобусный маршрут — № 540 (м. Тушинская — Бузланово). Остановка «Ильинское, улица Ленина» находится в 81 метре от объекта.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Маршрут № 541, обслуживающий главный растущий массив — ЖК «Ильинские луга», — идёт мимо объекта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, через Глухово и Ильинские Луга на Николо-Урюпино.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Ближайшая железнодорожная платформа — Ильинское, 2,5 км.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Следствие: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формат обязан быть автомобильным. И здесь 42 машиноместа против 120 у ТЦ «Ильинский» становятся ключевым ограничением — что ещё раз выводит на арендаторов, работающих по записи.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Профиль дня и сезонность</w:t>
      </w:r>
    </w:p>
    <w:p>
      <w:pPr>
        <w:spacing w:after="170" w:before="120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Пик приходится на 13:00–15:00, а не на вечер.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К 21:00 загруженность падает до 30% от пика. Это профиль дневного обслуживающего центра «по пути», а не вечернего или выходного шопинга. Практический вывод: приоритет тем арендаторам, чья выручка формируется днём, — детские занятия после школы, услуги по записи, медицина, обед, аптека, — а не вечернему досугу и импульсной торговле.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Сезонность: по исследованию Яндекса о подмосковных дачных пробках загруженность трасс «в область» по пятницам в мае–августе в 2,7 раза выше обычных будней, «в Москву» в воскресенье — в 1,8 раза выше среднего. Годовой размах трафика мимо объекта оценивается в 1,6–2,2 раза. Лучшее торговое окно — суббота с 11:00 до 18:00, когда люди уже на месте и никуда не спешат; пятничный вечер даёт «набег» за продуктами, готовой едой, цветами и хозтоварами.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Инфраструктурные изменения: метро работает в обе стороны</w:t>
      </w:r>
    </w:p>
    <w:tbl>
      <w:tblPr>
        <w:tblW w:type="dxa" w:w="10106"/>
        <w:tblBorders>
          <w:top w:val="none"/>
          <w:left w:val="single" w:color="123A5F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EEF2F6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23A5F"/>
                <w:sz w:val="21"/>
                <w:szCs w:val="21"/>
              </w:rPr>
              <w:t xml:space="preserve">Метро «Ильинская» открылось 5 сентября 2026 года — в 6 км к северу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Станция расположена на 4-м километре Ильинского шоссе, объект — на 10-м. Прогнозный пассажиропоток линии — свыше 250 тыс. поездок в сутки к 2030 году.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Плюс: рост капитализации и населения всего Ильинского направления.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Минус, который необходимо проговорить: метро создаёт мощный перехватывающий узел с парковками между объектом и Москвой. Часть жителей, ранее ехавших в Красногорск мимо нашего ТЦ, теперь доедет до станции и совершит покупки там. Для торговли «по пути» на 10-м километре это отток, а не приток. Ещё один аргумент в пользу смещения от «торговли по пути» к услугам по месту жительства.</w:t>
            </w:r>
          </w:p>
        </w:tc>
      </w:tr>
    </w:tbl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Реконструкция А-109 до четырёх полос запланирована в схеме территориального планирования Московской области, но в федеральной схеме не значится — то есть федерального финансирования нет. Расширение участка «Ильинское шоссе — Бузланово», проходящего через село, увязано с проектом планировки ЖК «Ильинские луга». ЦКАД на объект не влияет: она пересекает Новорижское шоссе примерно в 50 км от МКАД и с А-109 не пересекается.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4.4. Социально-экономический контекст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600"/>
        <w:gridCol w:w="1500"/>
        <w:gridCol w:w="1500"/>
        <w:gridCol w:w="1700"/>
        <w:gridCol w:w="2806"/>
      </w:tblGrid>
      <w:tr>
        <w:trPr>
          <w:tblHeader/>
        </w:trPr>
        <w:tc>
          <w:tcPr>
            <w:tcW w:type="dxa" w:w="2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15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5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  <w:tc>
          <w:tcPr>
            <w:tcW w:type="dxa" w:w="17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2028 (прогноз)</w:t>
            </w:r>
          </w:p>
        </w:tc>
        <w:tc>
          <w:tcPr>
            <w:tcW w:type="dxa" w:w="28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Комментарий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116 500 ₽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138 921 ₽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191 809 ₽</w:t>
            </w:r>
          </w:p>
        </w:tc>
        <w:tc>
          <w:tcPr>
            <w:tcW w:type="dxa" w:w="2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+38,1% номинально за 2026–2028</w:t>
            </w:r>
          </w:p>
        </w:tc>
      </w:tr>
      <w:tr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Московская область</w:t>
            </w:r>
          </w:p>
        </w:tc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98 795 ₽</w:t>
            </w:r>
          </w:p>
        </w:tc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116 008 ₽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28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Красногорск выше области на ~20%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Оборот розничной торговли,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375,6 млрд ₽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404,1 млрд ₽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501,0 млрд ₽</w:t>
            </w:r>
          </w:p>
        </w:tc>
        <w:tc>
          <w:tcPr>
            <w:tcW w:type="dxa" w:w="2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+24,0% номинально</w:t>
            </w:r>
          </w:p>
        </w:tc>
      </w:tr>
      <w:tr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Население округа</w:t>
            </w:r>
          </w:p>
        </w:tc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335 991</w:t>
            </w:r>
          </w:p>
        </w:tc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~347 600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~368 200</w:t>
            </w:r>
          </w:p>
        </w:tc>
        <w:tc>
          <w:tcPr>
            <w:tcW w:type="dxa" w:w="28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+5,9%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Оборот на душу населения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1,163 млн ₽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1,361 млн ₽</w:t>
            </w:r>
          </w:p>
        </w:tc>
        <w:tc>
          <w:tcPr>
            <w:tcW w:type="dxa" w:w="2806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+17,0% за 3 года = ~5,4% в год</w:t>
            </w:r>
          </w:p>
        </w:tc>
      </w:tr>
      <w:tr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Реальные располагаемые доходы РФ</w:t>
            </w:r>
          </w:p>
        </w:tc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+7,4%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+2,1% (прогноз МЭР на 2026)</w:t>
            </w:r>
          </w:p>
        </w:tc>
        <w:tc>
          <w:tcPr>
            <w:tcW w:type="dxa" w:w="28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I и II кварталы 2026: +1,5%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Оборот розничной торговли РФ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+10% (янв–ноя)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  <w:tc>
          <w:tcPr>
            <w:tcW w:type="dxa" w:w="2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Январь–май 2026: всего +5%</w:t>
            </w:r>
          </w:p>
        </w:tc>
      </w:tr>
    </w:tbl>
    <w:tbl>
      <w:tblPr>
        <w:tblW w:type="dxa" w:w="10106"/>
        <w:tblBorders>
          <w:top w:val="none"/>
          <w:left w:val="single" w:color="123A5F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EEF2F6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23A5F"/>
                <w:sz w:val="21"/>
                <w:szCs w:val="21"/>
              </w:rPr>
              <w:t xml:space="preserve">Ключевой вывод по потреблению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Оборот розничной торговли на душу населения в округе растёт на 5,4% в год. При инфляции 4–6% это означает, что в реальном выражении душевое потребление в 2026–2028 не растёт или снижается. Администрация округа признаёт это в собственном прогнозе, указывая на «нестабильный спрос населения на товары, не являющиеся жизненно необходимыми, и снижение покупательной способности вследствие повышения цен».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Рост аудитории в Ильинском количественный — новые жители, — а не качественный. Планировать нужно на объём трафика, а не на рост среднего чека в реальном выражении.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Отдельно: ключевая ставка ЦБ 14% и повышение НДС до 22% напрямую сокращают способность малого бизнеса открывать новые точки. Дорогие деньги — это меньше входящих обращений от независимых предпринимателей и больше веса у сетевых арендаторов, у которых есть собственный капитал.</w:t>
            </w:r>
          </w:p>
        </w:tc>
      </w:tr>
    </w:tbl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Расслоение аудитории — не смешивать в одном расчёте.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Массовый комфорт-класс (жители «Ильинских лугов», «Новой Риги», «Рублёвского предместья», «Riga Hills»; квартиры 7–25 млн ₽) растёт быстро и живёт круглогодично — это и есть главный драйвер трафика. Премиальные коттеджные посёлки (Петровский, Глухово, Николо-Урюпино; дома от 60 млн до 1,4 млрд ₽) не растут: спрос на элитные загородные дома Московского региона в III квартале 2025 упал на 41% год к году при росте предложения на 63,4%. По индексу Intermark PMR TOP-100 Рублёво-Успенское направление даёт 69% самых дорогих домов Подмосковья, а Ильинское шоссе представлено единичными объектами — то есть наша локация не является ядром делюкс-сегмента.</w:t>
      </w:r>
    </w:p>
    <w:p>
      <w:pPr>
        <w:spacing w:after="190" w:before="60"/>
      </w:pPr>
      <w:r>
        <w:rPr>
          <w:rFonts w:ascii="Georgia" w:cs="Georgia" w:eastAsia="Georgia" w:hAnsi="Georgia"/>
          <w:i/>
          <w:iCs/>
          <w:color w:val="5B6570"/>
          <w:sz w:val="16"/>
          <w:szCs w:val="16"/>
        </w:rPr>
        <w:t xml:space="preserve">Доля круглогодичного проживания в коттеджных посёлках оценивается в 60–75% на основании данных ИНКОМ-Недвижимость 2018 года (70% для радиуса до 40 км от Москвы). Актуального исследования за 2024–2026 годы в открытых источниках не существует. Это самая непрочная цифра отчёта.</w:t>
      </w:r>
    </w:p>
    <w:p>
      <w:pPr>
        <w:pStyle w:val="Heading1"/>
        <w:pageBreakBefore/>
        <w:pBdr>
          <w:bottom w:val="single" w:color="B8860B" w:sz="10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5. Почему помещения вакантны три года</w:t>
      </w:r>
    </w:p>
    <w:p>
      <w:pPr>
        <w:spacing w:after="170" w:before="120"/>
        <w:jc w:val="center"/>
      </w:pPr>
      <w:r>
        <w:drawing>
          <wp:inline distT="0" distB="0" distL="0" distR="0">
            <wp:extent cx="6286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5.1. Матрица «объективно / управляемо»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450"/>
        <w:gridCol w:w="620"/>
        <w:gridCol w:w="1250"/>
        <w:gridCol w:w="3400"/>
        <w:gridCol w:w="1200"/>
        <w:gridCol w:w="1186"/>
      </w:tblGrid>
      <w:tr>
        <w:trPr>
          <w:tblHeader/>
        </w:trPr>
        <w:tc>
          <w:tcPr>
            <w:tcW w:type="dxa" w:w="24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Причина</w:t>
            </w:r>
          </w:p>
        </w:tc>
        <w:tc>
          <w:tcPr>
            <w:tcW w:type="dxa" w:w="62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Вес</w:t>
            </w:r>
          </w:p>
        </w:tc>
        <w:tc>
          <w:tcPr>
            <w:tcW w:type="dxa" w:w="12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Природа</w:t>
            </w:r>
          </w:p>
        </w:tc>
        <w:tc>
          <w:tcPr>
            <w:tcW w:type="dxa" w:w="34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Конкретное действие</w:t>
            </w:r>
          </w:p>
        </w:tc>
        <w:tc>
          <w:tcPr>
            <w:tcW w:type="dxa" w:w="12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Стоимость</w:t>
            </w:r>
          </w:p>
        </w:tc>
        <w:tc>
          <w:tcPr>
            <w:tcW w:type="dxa" w:w="118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Срок</w:t>
            </w:r>
          </w:p>
        </w:tc>
      </w:tr>
      <w:tr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Ценообразование: №2 и №3 выше рынка; в объявлениях не указаны НДС, OPEX и коммунальные платежи</w:t>
            </w:r>
          </w:p>
        </w:tc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22%</w:t>
            </w:r>
          </w:p>
        </w:tc>
        <w:tc>
          <w:tcPr>
            <w:tcW w:type="dxa" w:w="125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Пересчитать №2 к 28–32 тыс. ₽/м²/год, №3 — к 20–24 тыс. Опубликовать полную занятость: НДС, OPEX, коммунальные, каникулы, индексацию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7 дней</w:t>
            </w:r>
          </w:p>
        </w:tc>
      </w:tr>
      <w:tr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Маркетинг и каналы: единственный аффилированный брокер, нет ЦИАН и Авито, презентация 2023 года не обновлялась</w:t>
            </w:r>
          </w:p>
        </w:tc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18%</w:t>
            </w:r>
          </w:p>
        </w:tc>
        <w:tc>
          <w:tcPr>
            <w:tcW w:type="dxa" w:w="125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Выход на ЦИАН, Авито, Яндекс.Недвижимость. Профессиональная съёмка с планировками. Привлечь 2–3 независимых брокеров на комиссию</w:t>
            </w:r>
          </w:p>
        </w:tc>
        <w:tc>
          <w:tcPr>
            <w:tcW w:type="dxa" w:w="12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118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30 дней</w:t>
            </w:r>
          </w:p>
        </w:tc>
      </w:tr>
      <w:tr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Позиционирование: «офис» там, где нет офисного рынка; «торговая площадь» без витрины; ошибочный кадастровый номер; приглашение ПВЗ, которым регламент запрещает 2-й этаж</w:t>
            </w:r>
          </w:p>
        </w:tc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15%</w:t>
            </w:r>
          </w:p>
        </w:tc>
        <w:tc>
          <w:tcPr>
            <w:tcW w:type="dxa" w:w="125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Переписать все три объявления. №3 — готовая бьюти-студия, №2 — помещение под услуги, №1 — одно назначение вместо четырёх. Выписка ЕГРН, исправление кадастрового номера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118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14 дней</w:t>
            </w:r>
          </w:p>
        </w:tc>
      </w:tr>
      <w:tr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Продукт: 430 м² — разнородная сборка залов; терраса не благоустроена</w:t>
            </w:r>
          </w:p>
        </w:tc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12%</w:t>
            </w:r>
          </w:p>
        </w:tc>
        <w:tc>
          <w:tcPr>
            <w:tcW w:type="dxa" w:w="125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Нарезка на 3 блока с отдельными входами и санузлами; благоустройство террасы (навес, освещение, озеленение)</w:t>
            </w:r>
          </w:p>
        </w:tc>
        <w:tc>
          <w:tcPr>
            <w:tcW w:type="dxa" w:w="12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~6,5 млн ₽</w:t>
            </w:r>
          </w:p>
        </w:tc>
        <w:tc>
          <w:tcPr>
            <w:tcW w:type="dxa" w:w="118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4–6 мес.</w:t>
            </w:r>
          </w:p>
        </w:tc>
      </w:tr>
      <w:tr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Каннибализация: Корпус II забрал ВкусВилл, МФЦ, Почту, «Ароматный Мир»</w:t>
            </w:r>
          </w:p>
        </w:tc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10%</w:t>
            </w:r>
          </w:p>
        </w:tc>
        <w:tc>
          <w:tcPr>
            <w:tcW w:type="dxa" w:w="125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Развести корпуса по функциям: Корпус II — торговля и сервис у дороги, Корпус I — услуги, детское и здоровье. Единая матрица арендаторов на оба здания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30 дней</w:t>
            </w:r>
          </w:p>
        </w:tc>
      </w:tr>
      <w:tr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Физика здания: лифт на планах БТИ отсутствует; публичная жалоба на опасную лестницу; 42 парковки</w:t>
            </w:r>
          </w:p>
        </w:tc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9%</w:t>
            </w:r>
          </w:p>
        </w:tc>
        <w:tc>
          <w:tcPr>
            <w:tcW w:type="dxa" w:w="125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3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Срочно: антискользящее покрытие, поручни, контрастная маркировка ступеней. Оценить возможность установки лифта. Проверить фактическое число парковочных мест</w:t>
            </w:r>
          </w:p>
        </w:tc>
        <w:tc>
          <w:tcPr>
            <w:tcW w:type="dxa" w:w="12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350 тыс. ₽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(лифт — отдельно)</w:t>
            </w:r>
          </w:p>
        </w:tc>
        <w:tc>
          <w:tcPr>
            <w:tcW w:type="dxa" w:w="118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45 дней</w:t>
            </w:r>
          </w:p>
        </w:tc>
      </w:tr>
      <w:tr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Локация и трафик: 1+1 полоса, 478 жителей села, конкурент с GLA 6 300 м² в 800 м, метро перехватывает поток</w:t>
            </w:r>
          </w:p>
        </w:tc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8%</w:t>
            </w:r>
          </w:p>
        </w:tc>
        <w:tc>
          <w:tcPr>
            <w:tcW w:type="dxa" w:w="1250"/>
            <w:shd w:fill="5B657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Изменить нельзя. Принять как данность и подбирать арендаторов, которым витринный трафик не нужен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Макроэкономика: ставка ЦБ 14%, НДС 22%, вакансия ТЦ растёт, реальные доходы замедлились до +1,5%</w:t>
            </w:r>
          </w:p>
        </w:tc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6%</w:t>
            </w:r>
          </w:p>
        </w:tc>
        <w:tc>
          <w:tcPr>
            <w:tcW w:type="dxa" w:w="1250"/>
            <w:shd w:fill="5B657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Изменить нельзя. Смещать фокус с независимых предпринимателей на сетевых арендаторов с собственным капиталом</w:t>
            </w:r>
          </w:p>
        </w:tc>
        <w:tc>
          <w:tcPr>
            <w:tcW w:type="dxa" w:w="12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Borders>
          <w:top w:val="none"/>
          <w:left w:val="single" w:color="1B7A3D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EFF7F0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7A3D"/>
                <w:sz w:val="21"/>
                <w:szCs w:val="21"/>
              </w:rPr>
              <w:t xml:space="preserve">Главный вывод раздела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На управляемые причины приходится около 67% совокупного веса, на объективные — 14%, на частично управляемые — 9%.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Это означает, что трёхлетняя вакансия не является приговором локации. Две трети проблемы находятся в зоне прямого контроля собственника, и первые три позиции — ценообразование, каналы и позиционирование, дающие вместе 55% веса, — устраняются за 30 дней и примерно 350 тыс. ₽.</w:t>
            </w:r>
          </w:p>
        </w:tc>
      </w:tr>
    </w:tbl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5.2. Пять ошибок, которые видит арендатор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4900"/>
        <w:gridCol w:w="5206"/>
      </w:tblGrid>
      <w:tr>
        <w:trPr>
          <w:tblHeader/>
        </w:trPr>
        <w:tc>
          <w:tcPr>
            <w:tcW w:type="dxa" w:w="49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Что видит потенциальный арендатор</w:t>
            </w:r>
          </w:p>
        </w:tc>
        <w:tc>
          <w:tcPr>
            <w:tcW w:type="dxa" w:w="52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Почему это останавливает сделку</w:t>
            </w:r>
          </w:p>
        </w:tc>
      </w:tr>
      <w:tr>
        <w:tc>
          <w:tcPr>
            <w:tcW w:type="dxa" w:w="4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 объявлении не указаны НДС, OPEX и коммунальные платежи</w:t>
            </w:r>
          </w:p>
        </w:tc>
        <w:tc>
          <w:tcPr>
            <w:tcW w:type="dxa" w:w="52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Отдел развития сети не может рассчитать полную занятость (occupancy cost) и не ставит объект в воронку. Это не придирка, а стандартная процедура</w:t>
            </w:r>
          </w:p>
        </w:tc>
      </w:tr>
      <w:tr>
        <w:tc>
          <w:tcPr>
            <w:tcW w:type="dxa" w:w="4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Кадастровый номер 50:11:0050505:190 относится к соседнему зданию (ул. Ленина, 26). Для ул. Ленина, 28 сам брокер на другой странице указывает 50:11:0050502:1759</w:t>
            </w:r>
          </w:p>
        </w:tc>
        <w:tc>
          <w:tcPr>
            <w:tcW w:type="dxa" w:w="52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Юрист сетевого арендатора проверяет кадастр на первом шаге. Несоответствие адреса и кадастрового номера останавливает сделку и подрывает доверие ко всему пакету документов</w:t>
            </w:r>
          </w:p>
        </w:tc>
      </w:tr>
      <w:tr>
        <w:tc>
          <w:tcPr>
            <w:tcW w:type="dxa" w:w="4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Объявление №2 приглашает «ПВЗ Wildberries или Яндекс Маркета»</w:t>
            </w:r>
          </w:p>
        </w:tc>
        <w:tc>
          <w:tcPr>
            <w:tcW w:type="dxa" w:w="52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Регламент Wildberries прямо запрещает размещение выше первого этажа и требует от 70 м² в Московской области (у нас 39,6). Яндекс Маркет допускает второй этаж, но только при работающем лифте. Оба обращения отваливаются на первом уточнении — и оставляют впечатление, что собственник не изучил вопрос</w:t>
            </w:r>
          </w:p>
        </w:tc>
      </w:tr>
      <w:tr>
        <w:tc>
          <w:tcPr>
            <w:tcW w:type="dxa" w:w="4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Объявление №3 продаёт «офис», фотографии показывают бьюти-салон</w:t>
            </w:r>
          </w:p>
        </w:tc>
        <w:tc>
          <w:tcPr>
            <w:tcW w:type="dxa" w:w="52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Арендатор не понимает, что именно сдаётся. Неопределённость на этапе объявления — самая дешёвая причина отказа</w:t>
            </w:r>
          </w:p>
        </w:tc>
      </w:tr>
      <w:tr>
        <w:tc>
          <w:tcPr>
            <w:tcW w:type="dxa" w:w="4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Объявление №1 предлагает «под офис, коворкинг, спортивную или танцевальную студию»</w:t>
            </w:r>
          </w:p>
        </w:tc>
        <w:tc>
          <w:tcPr>
            <w:tcW w:type="dxa" w:w="52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Четыре разных продукта в одном тексте. Ни один из четырёх адресатов не узнаёт в описании своё помещение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80" w:right="900" w:bottom="960" w:left="90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B8860B" w:sz="10" w:space="6"/>
        </w:pBdr>
        <w:spacing w:after="20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6. Тир-лист потенциальных арендаторов</w:t>
      </w:r>
    </w:p>
    <w:p>
      <w:pPr>
        <w:spacing w:after="130"/>
        <w:jc w:val="both"/>
      </w:pPr>
      <w:r>
        <w:rPr>
          <w:rFonts w:ascii="Georgia" w:cs="Georgia" w:eastAsia="Georgia" w:hAnsi="Georgia"/>
          <w:color w:val="1F2328"/>
          <w:sz w:val="19"/>
          <w:szCs w:val="19"/>
        </w:rPr>
        <w:t xml:space="preserve">55 компаний и форматов, проверенных на реальность существования и на актуальность заявлений об экспансии (не старше 12 месяцев). Ключевой фильтр — требование сети к этажу: оно отсекает примерно половину «стандартного» списка сетевых арендаторов, поскольку все три наших помещения находятся выше первого этажа. Ставки в предпоследней колонке — наша оценка платёжеспособности категории, а не публичные данные: ни одна из проверенных компаний публичных арендных ставок не раскрывает.</w:t>
      </w:r>
    </w:p>
    <w:tbl>
      <w:tblPr>
        <w:tblW w:type="dxa" w:w="6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1B7A3D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S — идеальное совпадение</w:t>
            </w:r>
          </w:p>
        </w:tc>
        <w:tc>
          <w:tcPr>
            <w:tcW w:type="dxa" w:w="1300"/>
            <w:shd w:fill="4CAF50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A — сильный кандидат</w:t>
            </w:r>
          </w:p>
        </w:tc>
        <w:tc>
          <w:tcPr>
            <w:tcW w:type="dxa" w:w="1300"/>
            <w:shd w:fill="F2C94C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6"/>
                <w:szCs w:val="16"/>
              </w:rPr>
              <w:t xml:space="preserve">B — возможен</w:t>
            </w:r>
          </w:p>
        </w:tc>
        <w:tc>
          <w:tcPr>
            <w:tcW w:type="dxa" w:w="1300"/>
            <w:shd w:fill="F2994A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6"/>
                <w:szCs w:val="16"/>
              </w:rPr>
              <w:t xml:space="preserve">C — слабый</w:t>
            </w:r>
          </w:p>
        </w:tc>
        <w:tc>
          <w:tcPr>
            <w:tcW w:type="dxa" w:w="1300"/>
            <w:shd w:fill="EB5757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D — не подойдёт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540"/>
        <w:gridCol w:w="1400"/>
        <w:gridCol w:w="1090"/>
        <w:gridCol w:w="2930"/>
        <w:gridCol w:w="1150"/>
        <w:gridCol w:w="2600"/>
        <w:gridCol w:w="2390"/>
        <w:gridCol w:w="1280"/>
        <w:gridCol w:w="1458"/>
      </w:tblGrid>
      <w:tr>
        <w:trPr>
          <w:tblHeader/>
        </w:trPr>
        <w:tc>
          <w:tcPr>
            <w:tcW w:type="dxa" w:w="54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Тир</w:t>
            </w:r>
          </w:p>
        </w:tc>
        <w:tc>
          <w:tcPr>
            <w:tcW w:type="dxa" w:w="14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Компания / сеть</w:t>
            </w:r>
          </w:p>
        </w:tc>
        <w:tc>
          <w:tcPr>
            <w:tcW w:type="dxa" w:w="109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Категория</w:t>
            </w:r>
          </w:p>
        </w:tc>
        <w:tc>
          <w:tcPr>
            <w:tcW w:type="dxa" w:w="293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Кратко о компании: формат, число точек, динамика экспансии, источник</w:t>
            </w:r>
          </w:p>
        </w:tc>
        <w:tc>
          <w:tcPr>
            <w:tcW w:type="dxa" w:w="11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Помещение</w:t>
            </w:r>
          </w:p>
        </w:tc>
        <w:tc>
          <w:tcPr>
            <w:tcW w:type="dxa" w:w="2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Почему подойдёт нашему ТЦ</w:t>
            </w:r>
          </w:p>
        </w:tc>
        <w:tc>
          <w:tcPr>
            <w:tcW w:type="dxa" w:w="239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Почему может не подойти / риск</w:t>
            </w:r>
          </w:p>
        </w:tc>
        <w:tc>
          <w:tcPr>
            <w:tcW w:type="dxa" w:w="128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Ожидаемая ставка</w:t>
            </w:r>
          </w:p>
        </w:tc>
        <w:tc>
          <w:tcPr>
            <w:tcW w:type="dxa" w:w="1458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Контакт для развития</w:t>
            </w:r>
          </w:p>
        </w:tc>
      </w:tr>
      <w:tr>
        <w:tc>
          <w:tcPr>
            <w:tcW w:type="dxa" w:w="54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Бэби-клуб / Бэби-сад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Детский сад и развитие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160 клубов и садов, 55 активных партнёров; формат «Бэби-сад» от 140 м². Грамота Московского форума франчайзинга 2025. Инвестиции в Москве от 7,6 млн ₽ (fr.baby-club.ru)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430 м² = полноформатный сад, а не кружок. Терраса 2-го этажа = прогулочная зона — в обычном ТЦ это нерешаемая проблема, у нас она решена. Потолки 3,9 м, мокрая точка. Здание нежилое → размещение законно. Субсидия МО 14 500 ₽/мес на ребёнка после лицензирования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Лицензирование сада требует эвакуационных путей и доступности; отсутствие лифта и жалобы на лестницу — прямой блокер. Нужна оценка соответствия до переговоров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10 000–13 000 ₽/м²/год (360–466 тыс ₽/мес) при каникулах 4–6 мес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8 800 100 20 24 · fr.baby-club.ru/detskij-sad</w:t>
            </w:r>
          </w:p>
        </w:tc>
      </w:tr>
      <w:tr>
        <w:tc>
          <w:tcPr>
            <w:tcW w:type="dxa" w:w="54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SoloSalon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50 адресов. Открытие на Аминьевской — сентябрь 2026; обновлённый коворкинг на Пролетарской — 01.12.2025 (solosalon.ru)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Формат создан ровно под такой метраж: 430 м² = 15–20 рабочих мест + кабинеты. Мокрая точка есть. В здании уже работают «Бьюти Сфера» (77 оценок), Giselle, «Луси», подолог — бьюти-спрос на этом адресе доказан, а две студии 3-го этажа закрылись, освободив клиентуру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Бьюти-коворкинг конкурирует с действующими арендаторами здания — возможен конфликт интересов. Нужна вентиляция под маникюр/педикюр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12 000–15 000 ₽/м²/год (430–538 тыс ₽/мес)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solosalon.ru — раздел франшизы</w:t>
            </w:r>
          </w:p>
        </w:tc>
      </w:tr>
      <w:tr>
        <w:tc>
          <w:tcPr>
            <w:tcW w:type="dxa" w:w="54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4hands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Маникюр / бьюти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221 франшизная точка — лидер сегмента. Требования: 30–100 м², первый этаж жилого дома ЛИБО ТЦ / бизнес-кластер, мокрая точка, от 15 кВт (offers.4hands.ru)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Совпадение по всем формальным требованиям: метраж 39,6 в коридоре 30–100, мокрая точка есть, формат ТЦ разрешён их же регламентом, электрической мощности в здании 670 кВт с запасом. Свежий ремонт — капвложения минимальны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39,6 м² — внутренняя комната без витрины; часть их экономики строится на вывеске и витринном трафике. Нужна сильная навигация от входа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28 000–32 000 ₽/м²/год (92–106 тыс ₽/мес)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offers.4hands.ru</w:t>
            </w:r>
          </w:p>
        </w:tc>
      </w:tr>
      <w:tr>
        <w:tc>
          <w:tcPr>
            <w:tcW w:type="dxa" w:w="54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Art of Pilates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Фитнес-студия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10 студий. Два формата: 100–150 м² (инвестиции от 3,3 млн ₽) и от 150 м² (от 5 млн ₽) (artofpilates-franchise.ru)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Прямое попадание в формат. Потолки 3,9 м — редкость для студийного фитнеса и их прямое требование к оборудованию реформеров. Клиентура коттеджных посёлков бизнес-класса — ядро аудитории пилатеса. Посещение по записи, что снимает нагрузку на 42 парковки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Требует нарезки 430 м² — это CAPEX собственника. Нужны раздевалки и душевые (мокрая точка одна)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16 000–20 000 ₽/м²/год (200–250 тыс ₽/мес за блок 150 м²)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+7 903 664 7755 · artofpilates-franchise.ru</w:t>
            </w:r>
          </w:p>
        </w:tc>
      </w:tr>
      <w:tr>
        <w:tc>
          <w:tcPr>
            <w:tcW w:type="dxa" w:w="54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Laser Love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Косметология / лазерная эпиляция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237 работающих студий в 146 городах. Опубликованная стратегия от 13.03.2026: +10 клиник в Москве в 2026 году (до 30) и +5 в СНГ (laserlove.ru/blog/franchise/strategya-2026)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Публично заявленная цель по Москве на текущий год — самый свежий сигнал экспансии в выборке. Помещение №3 уже имеет отделку бьюти-студии (ресепшн, зонирование, мокрая точка) — заезд почти без вложений. Процедуры по записи, витрина не нужна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Заявленная цель — Москва, не область; нужно проверить, рассматривают ли МО. Лазерное оборудование требует подтверждённой мощности и вентиляции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22 000–26 000 ₽/м²/год (83–98 тыс ₽/мес)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laserlove.ru/franchise</w:t>
            </w:r>
          </w:p>
        </w:tc>
      </w:tr>
      <w:tr>
        <w:tc>
          <w:tcPr>
            <w:tcW w:type="dxa" w:w="54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Гемотест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800+ точек по франшизе. Требования: 55–120 м², помещение «не ниже первого этажа» (т.е. 2-й допустим), потолки от 2,6 м, водоснабжение и канализация, парковка, договор от 3 лет (franshiza.ru/franchise/read/gemotest)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60–90 м²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Одна из немногих федеральных лабораторных сетей, чей регламент прямо допускает этаж выше первого — в отличие от ИНВИТРО и «Хеликса». Здание нежилое, значит медицинская лицензия на 2-м этаже возможна, чего не могут предложить встроенные помещения соседних ЖК. Парковка и соседство с аптекой 36,6 — их профиль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Требует нарезки и отдельного санузла. Договор от 3 лет — придётся зафиксировать ставку надолго. Конкуренция: ИНВИТРО/Хеликс уже могут стоять на 1-х этажах соседних ЖК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franshiza.ru/franchise/read/gemotest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KDL | Медскан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450+ собственных офисов, 500+ точек под брендом, 13 лабораторных комплексов. Франшиза запущена 05.02.2025 (Коммерсантъ); первый франчайзинговый офис в Москве открыт 10.12.2025 (РИА). Инвестиции 3,8–5,5 млн ₽, эксклюзивные права на территорию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Сеть активно ищет франчайзи в Москве и области с конца 2025 — окно открыто сейчас. Эксклюзив на территорию — сильный аргумент для партнёра: в радиусе 5 км конкурирующих лабораторий мало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Требования к помещению публично не раскрыты — возможен отказ по этажу, как у ИНВИТРО. Запрашивать регламент до показа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franchise@kdl.ru · 8 495 258 82 11 · franchise.kdl.ru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Сёма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Детские центры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384 франчайзинговых предприятия — лидер по числу точек в сегменте. Форматы: сад, фри-фло, игровая; от 75 м² (topfranchise.ru)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100–150 м²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Самая гибкая по формату сеть в детском сегменте: можно зайти игровой на 75 м², а вырасти до сада. Это снижает риск для обеих сторон при поэтапной нарезке 430 м². Спрос подтверждён — в здании уже работал «Центр развития личности Культура»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Детский формат упирается в ту же связку «нет лифта + опасная лестница». Без её решения переговоры остановятся на этапе осмотра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topfranchise.ru — карточка франшизы «Сёма»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Полиглотики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Языковая школа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Международная сеть. Базовый формат от 50 м² (два кабинета + холл), расширенный 70–150 м². 1-е место в рейтинге Forbes «Самые выгодные франшизы России 2025» среди языковых школ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Занятия во второй половине дня — идеально ложится на дневной профиль загруженности ТЦ (пик 13:00–15:00 по Яндекс.Картам). Аудитория — дети из коттеджных посёлков и ЖК «Ильинские Луга» (4 школы в проекте). Витрина не нужна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45,3 м² чуть меньше их минимума в 50 м² — нужен либо блок из №1, либо связка №3 + смежная комната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poliglotiki.ru/franchajzing.html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Чемпионика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Детский футбол / спорт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~650–700 локаций, 185 франчайзи, 5 стран. Методика одобрена РФС. Ведущие франчайзи запускают более 20 центров в год. Работают на арендованных залах, инвестиции 220 тыс.–1,5 млн ₽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зал 150–200 м², почасово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Редкий арендатор, которого можно поставить в дневные часы без ущерба другим: секции идут после школы. Почасовая аренда зала даёт доход с площади, которая иначе простаивает, и не требует от них капвложений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Почасовая модель = низкая и нестабильная выручка с метра; не закрывает площадь как якорь. Рассматривать как добор, а не как основного арендатора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Почасово: 1 200–2 000 ₽/час (загрузка 4–6 ч/день в будни)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franshiza.ru/franchise/read/chempionika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TOPGUN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250+ барбершопов, 290+ подписанных договоров, 5 стран, 50 городов. Материал Forbes «Экспансия начинается: как TOPGUN намерена расширить сеть барбершопов»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Барбершоп — формат целевого визита по записи, витринный трафик не критичен. Мужская аудитория коттеджных посёлков платёжеспособна. Мокрая точка есть. Объявление собственника уже называет барбершоп целевым форматом — значит запросы были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В здании уже работают «Луси» (парикмахерская) и «Бьюти Сфера» — сеть может счесть локацию занятой. 39,6 м² — на нижней границе для 3–4 кресел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OldBoy Barbershop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253 франчайзинговых точки, 290+ запусков в 11 странах (oldboybarbershop.com/franchising)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Вторая по масштабу барбершоп-сеть страны с активным франчайзингом — если TOPGUN откажет, это прямая альтернатива без потери качества оператора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Те же ограничения: внутренняя комната без витрины, конкуренция внутри здания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oldboybarbershop.com/franchising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BRITVA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145+ филиалов, 6 в стадии открытия. Инвестиции от 6,5 млн ₽ именно в Москве и Московской области (topfranchise.ru)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Сеть прямо декларирует Москву и МО как приоритетную территорию и указывает объём инвестиций для неё — то есть партнёры под этот регион ищутся активно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Высокий порог инвестиций для франчайзи в МО может затянуть поиск партнёра на локацию в селе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topfranchise.ru/stati/obzor-franshizy-britva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ТОЧКА красоты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196 точек, присутствует в рейтингах РБК и Forbes. Сеть предоставляет партнёрам подбор помещения «под ключ»; есть франчайзи, масштабировавшиеся до 6 салонов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Помещение №3 — фактически готовая бьюти-студия закрывшегося оператора: ресепшн, зонирование, мокрая точка, отделка. Заезд почти без CAPEX. Предыдущий оператор на этом месте имел рейтинг 5,0 и 57 отзывов — спрос доказан на самой площадке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Свежих новостей об экспансии за последние 12 месяцев не найдено — активность сети требует проверки звонком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franshiza.ru/franchise/read/tochka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Pilates Life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Пилатес / фитнес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Крупнейшее в РФ пространство пилатеса. Новые филиалы 2025: Покровка (январь), Орджоникидзе (сентябрь) — подтверждено отраслевым изданием Pilates Journal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Подтверждённые открытия два года подряд. Потолки 3,9 м и возможность сделать отдельный вход с лестничного узла — то, что нужно студийному формату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Их точки сосредоточены в Москве внутри МКАД; выход в область не подтверждён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pilates.life/franchise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FITLIT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Сеть EMS-студий. Формат от 75 м², позиционируется через «низкие арендные затраты», заявленная окупаемость 12 месяцев (franshiza.ru)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EMS — самый компактный фитнес-формат: 75 м² достаточно, тренировки по записи, парковка не перегружается. Из 430 м² такой блок нарезается легко и оставляет место ещё двум арендаторам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Модель сети построена на дешёвой аренде — они будут давить ставку вниз. Оборудование требует устойчивого электропитания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franshiza.ru — раздел спортивных франшиз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FIT-N-GO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Создатель рынка EMS в России. Инвестиции франчайзи от 1,5 млн ₽ (biz.fit-n-go.ru)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Низкий порог входа для партнёра — 1,5 млн ₽ — увеличивает вероятность найти местного франчайзи из числа жителей посёлков, а не ждать корпоративного решения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Свежих новостей об экспансии не найдено; сеть небольшая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biz.fit-n-go.ru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Кухонный Двор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Исторический московский бренд кухонной мебели, развивает франчайзинговые салоны. Открыл принципиально новый салон в Одинцово (Retail.ru, kuxni.net)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Одинцово — соседнее западное направление с той же аудиторией: коттеджные посёлки, ремонт загородного дома. Мебельные шоурумы традиционно идут на 2–3 этаж, потому что покупка плановая, а не импульсная. Потолки 3,9 м позволяют выставить высокие колонны — прямое преимущество перед конкурентами с потолками 3 м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Занос крупногабаритных образцов без лифта — реальная логистическая проблема. Низкая частота визитов не создаёт трафика соседям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kuxni.net — раздел о компании / франчайзинг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Кухни «Мария»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Крупнейшая федеральная сеть кухонь, собственное производство в Пензе, развивается по франшизе (franshiza.ru/franchise/read/mariya)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Федеральный масштаб и отлаженная франчайзинговая модель. Тот же аргумент по потолкам и плановому характеру покупки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Требования к этажу и трафику публично не раскрыты. Та же проблема заноса образцов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franshiza.ru/franchise/read/mariya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Четыре Лапы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600 магазинов — юбилейный открыт 22.12.2025 именно в ТЦ («Патриот», Москва). +54 точки за 2025 год, 8 ветцентров, 49 груминг-салонов. Заявлено: «в 2026 планируем продолжить открывать» (New Retail, 22.12.2025)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120–200 м²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Формат ТЦ подтверждён фактом: юбилейный магазин открыт в торговом центре. Темп ~55 точек в год — сеть в активной фазе. Владельцы домашних животных в коттеджных посёлках — платёжеспособная и регулярная аудитория; груминг работает по записи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Требования по этажу публично не раскрыты — зоомагазины обычно просят 1-й этаж с витриной. Вероятен отказ, запрашивать регламент до показа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Свой Доктор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15+ клиник в Москве и МО. Паушальный взнос 200 тыс. ₽, роялти 50 тыс. ₽/мес. Опубликован прямой мобильный коммерческого директора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Ветклиника — целевой визит, витрина не нужна, здание нежилое (в жилом доме ветклиника ограничена). Ближайшая точка притяжения — Ильинская больница в Глухово показывает, что медицинский профиль в локации востребован. Доступен прямой контакт лица, принимающего решение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Экспансия за последние 12 месяцев не подтверждена публикациями. Ветклиника требует отдельной вентиляции и утилизации отходов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Руслан Семченко, +7 925 506-54-39 · svoydoctor.ru/franchayzing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Pedant.ru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Ремонт электроники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707 сервисных центров, 400+ договоров франшизы — крупнейшая сеть ремонта смартфонов в РФ. Три формата, различающиеся площадью и локацией; вложения 490–990 тыс. ₽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Три формата означают гибкость по метражу. Услуга целевая: клиент едет чинить телефон, а не заходит случайно. Низкий порог инвестиций — легко найти местного франчайзи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Ремонт электроники обычно ставят на 1-й этаж у потока. Чек с метра ниже, чем у бьюти — будут торговаться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franshiza.pedant.ru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Алгоритмика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Детское IT-образование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200 городов России, присутствие в 25 странах (biz.algoritmika.org)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№3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Занятия после школы — попадание в дневной профиль загруженности. ЖК «Ильинские Луга» с 4 школами в проекте создаёт целевую аудиторию на горизонте 3–5 лет. Компьютерный класс не требует витрины и мокрой точки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Требования к помещению не раскрыты. Сегмент перегрет — в радиусе может уже работать конкурент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biz.algoritmika.org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Детская страна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Детский сад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Крупнейшая по числу мест сеть частных садов. Ключевой аргумент экономики: субсидия Московской области 14 500 ₽/мес на ребёнка после получения лицензии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Субсидия МО принципиально меняет экономику сада в Красногорском округе и делает возможной более высокую арендную ставку, чем платит обычный детский центр. 430 м² + терраса = лицензируемый формат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Лицензия требует соблюдения норм по эвакуации, инсоляции и доступности — отсутствие лифта и состояние лестницы могут сделать лицензирование невозможным. Проверять до переговоров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10 000–13 000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beboss.ru/franchise/2410-franshiza-detskaya-strana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GLOW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Франшиза бьюти-коворкингов. Инвестиции от 2,6 млн ₽, заявленный доход от 450 тыс. ₽/мес (glowfranshiza.ru)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Альтернатива SoloSalon с вдвое меньшим порогом входа — выше шанс найти местного партнёра. Формат опирается на тренд ухода мастеров из салонов в аренду места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Небольшая сеть, устойчивость модели не подтверждена независимыми источниками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glowfranshiza.ru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Пальчики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Ногтевая студия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72 точки. Инвестиции ~4 млн ₽ (franshiza.palchiki.com)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Устойчивая сеть среднего размера, метраж 39,6 м² типичен для ногтевой студии. Мокрая точка есть, мощности достаточно для вытяжек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Свежих новостей об экспансии не найдено. Конкуренция с действующими бьюти-арендаторами здания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franshiza.palchiki.com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Бетховен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99 магазинов (87 собственных + 14 франчайзи на начало 2026). 13.02.2026 открыты 4 магазина в новой концепции: примерочные, лапомойки, зоны новинок. Ядро аудитории — женщины 35–40 лет, 80% покупателей (Retail.ru)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150–250 м²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Смена концепции обычно сопровождается поиском новых площадей под увеличенный формат. Портрет покупателя точно совпадает с жительницами коттеджных посёлков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Сеть втрое меньше «Четырёх Лап» и растёт медленнее. Новая концепция с лапомойкой требует воды и слива в торговом зале — на 2-м этаже это дорого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Cofix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260+ кофеен, 3-е место по выручке среди кофейных сетей РФ, средний чек 310 ₽ (+12% в 2025). План на 2026: 16–42 открытия, 7 контрактов подписано. Новый формат — 5 точек, первая открыта в спортклубе внутри ТЦ. Готовится продажа бизнеса за 1,25–1,4 млрд ₽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 — после закрытия №1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Их собственный новый формат — кофейня внутри спортклуба в ТЦ — это прямая инструкция: сначала поставить фитнес или детский центр в №1, затем продавать №2 как «точку при готовом трафике», а не как 39 метров на втором этаже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Идти к ним до закрытия №1 бессмысленно. В здании уже работает пекарня La Poste (148 оценок) — конфликт по кофе. Готовящаяся продажа бизнеса может заморозить решения по новым точкам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cofix.ru — раздел франчайзинга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Кофе Лайк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1100+ точек. План 150 партнёрских открытий в 2026 году, совокупные инвестиции партнёров 150 млн ₽ (RETAILER.ru, 17.06.2026)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Самый агрессивный план открытий среди кофейных сетей в выборке — 150 точек за год означает низкие требования к локации и быстрое решение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Мини-форматы «кофе с собой» сжались на 1% в 2025 и продолжают падать в 2026; доля покупающих кофе в супермаркетах выросла вдвое до 35%, а рядом «Пятёрочка» и «ВкусВилл». Плюс своя пекарня в здании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One Price Coffee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250+ кофеен. Форматы: Take away 6–10 м², Island 10–20 м², Standard 20–50 м². Требования: от 12 кВт, обязательны вентиляция и кондиционирование. Совместный формат с «ИЗЗЗИ Бизнес»: запуск в Москве в октябре 2025, к марту 2026 — выход в 6 новых городов (Forbes)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Формат Standard 20–50 м² точно накрывает 39,6 м². Электрической мощности здания (670 кВт) достаточно с большим запасом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Те же риски сегмента, что и у «Кофе Лайк». Требование к вентиляции на 2-м этаже потребует вложений собственника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onepricecoffee.com/franchise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МЕДСИ («Смарт»)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Медицина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1876 медкабинетов. Формат «Смарт» — клиники шаговой доступности; открытие «Смарт» на юго-западе Москвы, в июне 2026 — выход за рубеж (franchise.medsi.ru)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Формат «Смарт» теоретически ложится в 430 м². Сильный бренд стал бы якорем, поднявшим статус всего объекта после понижения позиционирования при замене «Магнолии» на «Пятёрочку»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Крупный федеральный игрок вряд ли пойдёт в село с населением 478 человек без сетевого покрытия вокруг. Медлицензия потребует решения вопроса доступности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franchise.medsi.ru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WSPACE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Коворкинг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Оператор гибких офисов, Москва и Moscow-City, развивает франшизу. Требуется ~600 м², инвестиции 12 млн ₽; заявлен поиск партнёров в Москве и Московской области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+ №3 (475,8 м²)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Единственный оператор гибких офисов в выборке, публично заявивший о поиске партнёров в МО. Объединение №1 и №3 даёт 475,8 м² — близко к их требованию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475,8 м² всё ещё меньше 600 м². Рынок гибких офисов Москвы сжимается: ввод −25,4% в 2025 и прогноз −43% в 2026. Офисного спроса в Ильинском нет (0 объявлений)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12 000–15 000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+7 495 122 55 55 · INFO@WSPACE.SPACE · wspace.space/franchise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Boxberry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Федеральная сеть пунктов выдачи. Минимальная площадь от 15 м² — самое мягкое требование по метражу среди логистических сетей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Требование к этажу публично не регламентировано, в отличие от Wildberries и Ozon, — значит переговоры в принципе возможны. Малая площадь позволяет разделить №2 на два назначения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Практика рынка: в ТЦ «Октябрь» (Павловская Слобода) все три ПВЗ стоят на 1-м этаже, а на цоколе — только СДЭК. Без лифта выдача крупногабаритных заказов на 2-м этаже проблематична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Раздел для партнёров на сайте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СДЭК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Федеральная сеть. Требования: от 35 м², рекомендуется 50 м². Этаж явно не регламентирован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39,6 м² проходит минимум. В ТЦ «Октябрь» СДЭК стоит на цокольном этаже — прецедент размещения не на первом этаже существует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Ниже рекомендованных 50 м². Поток посылок без лифта ложится на ту самую лестницу, о которой есть публичная жалоба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Раздел «Стать партнёром» на сайте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One Yoga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Йога / фитнес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Сеть студий горячей йоги и пилатеса. Формат требует мощной приточно-вытяжной вентиляции и мокрых точек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Потолки 3,9 м и наличие мокрой точки — два их ключевых требования, оба выполняются. Электрической мощности 670 кВт достаточно для систем нагрева и вентиляции горячей йоги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Горячая йога — дорогой инженерный формат: потребуется серьёзная вентиляция за счёт собственника. Экспансия сети не подтверждена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leaderfranchise.ru/franshiza_oneyoga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Химчистка «Диана»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Бытовые услуги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600+ приёмных пунктов, 30 лет на рынке. Приёмный пункт от 6 м², роялти отсутствует. Открывают ПП в регионах присутствия, включая Москву и МО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Холл / часть №2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Приёмный пункт на 6 м² можно разместить в холле, не занимая арендопригодную площадь целиком. Работает как трафикогенератор для соседей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В здании уже работает химчистка «СтандАрт» (46 оценок, рейтинг 4,9) — прямой конфликт с действующим арендатором. Скорее всего, отказ по этой причине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Символическая ставка; ценность в трафике, а не в доходе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dryclean.ru/partner/usl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Cinnabon Россия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130 точек в России (1300 в мире). Заявленный план: до 200 пекарен в ближайшие 5 лет; приобретены эксклюзивные права на развитие бренда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Публично заявленный план роста и узнаваемый бренд. Формат кафе-пекарни соответствует метражу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В здании уже работает пекарня La Poste с рейтингом 5,0 и 148 оценками — прямая конкуренция. Второй этаж для импульсной выпечки — плохая позиция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cinnabonrussia.com/franchise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Персона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100+ салонов в 25 городах, входит в ТОП-5 сетей РФ. Инвестиции 3,5–6 млн ₽, заявленный запуск от 2 недель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Готовая отделка бьюти-студии в №3 соответствует их обещанию быстрого запуска. Сильный бренд для аудитории коттеджных посёлков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Экспансия за 12 месяцев не подтверждена. Формат полноценного салона обычно требует больше 45 м²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persona-franshiza.ru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S&amp;I Fitness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Сеть EMS-студий, партнёрам предоставляется Business Book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Ещё один вариант компактного фитнеса для нарезки 430 м², если FITLIT и FIT-N-GO не дадут результата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Малоизвестная сеть, публичных данных о числе точек и динамике нет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ems-fitness.tilda.ws</w:t>
            </w:r>
          </w:p>
        </w:tc>
      </w:tr>
      <w:tr>
        <w:tc>
          <w:tcPr>
            <w:tcW w:type="dxa" w:w="540"/>
            <w:shd w:fill="F2994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Хлеб Насущный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48 кафе-пекарен в Москве и Санкт-Петербурге. Форматы: Grand Cafe 100–350 м², Express 40–100 м², Mini 20–30 м²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100–150 м² (с террасой) или №2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Линейка форматов идеально ложится на обе наши площади, а Grand Cafe с выходом на террасу — единственный сценарий, где терраса монетизируется напрямую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Последняя новость о франчайзинге датирована 16.08.2019 — экспансия не подтверждена семь лет. Премиальная пекарня на 2-м этаже без витрины с улицы — сомнительная экономика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buybrand.ru/news/24815 — проверять актуальность напрямую</w:t>
            </w:r>
          </w:p>
        </w:tc>
      </w:tr>
      <w:tr>
        <w:tc>
          <w:tcPr>
            <w:tcW w:type="dxa" w:w="540"/>
            <w:shd w:fill="F2994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Skuratov Coffee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Присутствие в 7 городах, 2 собственные обжарки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Сильный бренд спешелти-кофе, который подошёл бы премиальной аудитории Рублёво-Успенского направления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Экспансия не подтверждена. Спешелти-формат требует пешеходного трафика, которого в селе с населением 478 человек нет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skuratovcoffee.ru</w:t>
            </w:r>
          </w:p>
        </w:tc>
      </w:tr>
      <w:tr>
        <w:tc>
          <w:tcPr>
            <w:tcW w:type="dxa" w:w="540"/>
            <w:shd w:fill="F2994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Чистофф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Прачечная самообслуживания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70+ предприятий в 12 городах — данные 2019 года, свежих не найдено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Прачечная самообслуживания не требует персонала и витрины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Данные о сети семилетней давности, экспансия не подтверждена. Конфликт с действующей химчисткой «СтандАрт». Оборудование требует подвода и слива воды на 2-м этаже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18 000–24 000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franshiza.ru/franchise/read/chistoff</w:t>
            </w:r>
          </w:p>
        </w:tc>
      </w:tr>
      <w:tr>
        <w:tc>
          <w:tcPr>
            <w:tcW w:type="dxa" w:w="540"/>
            <w:shd w:fill="F2994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Vet Union / Vetcity Clinic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Московские ветеринарные сети, развивают франшизу. Требования к помещению не публикуют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Запасной вариант в ветеринарном направлении, если «Свой Доктор» откажет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Экспансия не подтверждена ни у одной из двух. Требования не раскрыты — высокая вероятность отказа по этажу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vetunion.ru/clinic/franchise · vet.city/veterinarnaya-franshiza</w:t>
            </w:r>
          </w:p>
        </w:tc>
      </w:tr>
      <w:tr>
        <w:tc>
          <w:tcPr>
            <w:tcW w:type="dxa" w:w="540"/>
            <w:shd w:fill="F2994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SOK / Space1 / GrowUp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Гибкие офисы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Московские операторы гибких офисных пространств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+ №3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Формально подходящий метраж для небольшой площадки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Рынок сжимается: ввод гибких офисов в Москве −25,4% в 2025, прогноз −43% в 2026 (RB.RU). Офисного рынка в Ильинском нет: 0 офисных объявлений на realestate.ru, 1 на mirkvartir (целое здание 1 200 м²). Идти в этот канал нецелесообразно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10 000–14 000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Сайты операторов</w:t>
            </w:r>
          </w:p>
        </w:tc>
      </w:tr>
      <w:tr>
        <w:tc>
          <w:tcPr>
            <w:tcW w:type="dxa" w:w="540"/>
            <w:shd w:fill="F2994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Планета Здоровья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2890 точек в 56 регионах; в начале 2025 приобретены 250 аптек сети «Монастырев»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Активно растущая федеральная сеть с подтверждёнными сделками M&amp;A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В здании уже работает аптека «36,6» — прямой конфликт. Аптеки требуют 1-го этажа. Практически гарантированный отказ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Wildberries ПВЗ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Крупнейшая сеть ПВЗ страны. Регламент: минимум 70 м² в Московской области, склад не менее 70% площади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Прямой запрет регламента: «размещать ПВЗ в подвалах, цоколях и этажах выше первого запрещено». Плюс 39,6 м² вдвое меньше требуемых 70 м². ВАЖНО: объявление по помещению №2 прямо приглашает «ПВЗ Wildberries» — это ошибка, отсекающая доверие на первом же звонке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Не обращаться до появления площади на 1-м этаже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Ozon ПВЗ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Федеральная сеть ПВЗ, от 30 м² в пределах ЦКАД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Регламент запрещает размещение выше первого этажа и требует отдельного входа с улицы. В здании ПВЗ Ozon уже работает — вывеска на фасаде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Не обращаться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Яндекс Маркет ПВЗ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Требования: от 25 м² (клиентская зона ≥14 м², склад ≥8 м²), ширина клиентской зоны ≥3 м, потолки 2,3–2,5 м, помещение не проходное. Допускается цокольный, первый или второй этаж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 — условно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Единственный маркетплейс, чей регламент в принципе допускает 2-й этаж, и метраж 39,6 м² проходит с запасом. Есть облегчённые форматы «Лёгкий старт» и «Вместе» внутри действующего бизнеса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БЛОКЕР: «выше первого этажа — нужен работающий лифт или эскалатор». На поэтажных планах БТИ 2-го и 3-го этажей лифт отсутствует, есть только две лестницы. Переходит в тир A немедленно, если лифт будет установлен или обнаружен при осмотре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market.yandex.ru/lp/market-pvz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ИНВИТРО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~1800 офисов в РФ и СНГ, ~350 в Москве и МО. Открытия 2026: Москва, Новосибирск, Калуга, Армавир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Жёсткое требование: «первый этаж, первая линия домов, отдельный вход». Ни одно из трёх помещений не удовлетворяет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Не обращаться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Хеликс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900+ диагностических центров в 260 городах. +13 ДЦ с начала года при плане +70 за 2025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Требование: 1-й этаж, желательно первая линия домов, потолки 2,6 м, пандус. Не проходим по этажу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Не обращаться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Мокрый нос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213 магазинов в 38 городах, 5 груминг-салонов, ветеринарный кабинет. 17.08.2026 объявлен поиск помещений в 46 городах (Retail.ru)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Сеть публично ищет помещения прямо сейчас — единственный такой случай в выборке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Требования исключают нас: «главная линия домов с витринными окнами» и 1500 квартир в радиусе 250 м. У нас 2-й этаж без витрины и 478 жителей села. Написать стоит, но рассчитывать не на что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Неприменимо в текущей конфигурации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franchise@mokryinos.ru · +7 923 117-54-74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Апрель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10 700 пунктов в 79 регионах, +1334 точки за год (март 2026), выручка 259 млрд ₽ (+34%), 1-е место в рейтинге Forbes, май 2026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Самая быстрорастущая аптечная сеть страны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Формат — стрит-ритейл на 1-м этаже. Плюс в здании уже работает аптека «36,6». Двойное несоответствие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Не обращаться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FIT Service / шиномонтаж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Автосервис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Федеральная сеть СТО и сети шиномонтажа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Автомобильный характер локации формально подходит автотематике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Требуется от 200 м² с заездом для автомобилей. На 2-м и 3-м этажах физически невозможно. В комплексе эта ниша уже закрыта: автомойка-детейлинг Dr. Duck в цоколе Корпуса II. Автотематика у нас возможна только как офис автострахования или автоподбора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Не обращаться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Дарк-китчен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F&amp;B / логистика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Формат (не сеть): 30–50 м², два входа с подъездом для курьеров, вода, канализация К1+К3, приточно-вытяжная вентиляция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Метраж №2 формально подходит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Модель построена на непрерывном потоке курьеров. Второй этаж без лифта делает формат нерабочим: каждый заказ — подъём и спуск по лестнице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—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Т-Банк / Точка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Банк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Банки, работающие без физической сети отделений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Бизнес-модель не предполагает офисов обслуживания. Обращение бессмысленно по определению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Georgia" w:cs="Georgia" w:eastAsia="Georgia" w:hAnsi="Georgia"/>
          <w:i/>
          <w:iCs/>
          <w:color w:val="5B6570"/>
          <w:sz w:val="15"/>
          <w:szCs w:val="15"/>
        </w:rPr>
        <w:t xml:space="preserve">Распределение: S — 6, A — 20, B — 13, C — 6, D — 10 — всего 55 строк. Данные собраны 18.09.2026. Компании, у которых не найдено публичных новостей об экспансии за последние 12 месяцев, помечены в колонке «Кратко» словами «экспансия не подтверждена» и понижены в тире.</w:t>
      </w:r>
    </w:p>
    <w:p>
      <w:pPr>
        <w:sectPr>
          <w:headerReference w:type="default" r:id="rId9"/>
          <w:footerReference w:type="default" r:id="rId10"/>
          <w:pgSz w:w="16838" w:h="11906" w:orient="landscape"/>
          <w:pgMar w:top="900" w:right="800" w:bottom="820" w:left="800" w:header="708" w:footer="708" w:gutter="0"/>
          <w:pgNumType/>
          <w:docGrid w:linePitch="360"/>
        </w:sectPr>
      </w:pPr>
    </w:p>
    <w:p>
      <w:pPr>
        <w:pStyle w:val="Heading2"/>
        <w:spacing w:after="130" w:before="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6.1. Пять категорий для холодного предложения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Это направления, где имеет смысл идти первым, не дожидаясь входящего запроса. Общий признак всех пяти: арендатору не нужен витринный трафик, к нему едут по записи, и он выигрывает от того, что здание нежилое.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500"/>
        <w:gridCol w:w="5600"/>
        <w:gridCol w:w="2006"/>
      </w:tblGrid>
      <w:tr>
        <w:trPr>
          <w:tblHeader/>
        </w:trPr>
        <w:tc>
          <w:tcPr>
            <w:tcW w:type="dxa" w:w="25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Категория</w:t>
            </w:r>
          </w:p>
        </w:tc>
        <w:tc>
          <w:tcPr>
            <w:tcW w:type="dxa" w:w="5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Почему именно она</w:t>
            </w:r>
          </w:p>
        </w:tc>
        <w:tc>
          <w:tcPr>
            <w:tcW w:type="dxa" w:w="20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Целевое помещение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1. Детское развитие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и частный сад</w:t>
            </w:r>
          </w:p>
        </w:tc>
        <w:tc>
          <w:tcPr>
            <w:tcW w:type="dxa" w:w="5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ЖК «Ильинские луга» — 44,9 тыс. проектных жителей в 1,7 км, 4 школы и 9 детских садов в проекте. Детей 0–17 лет в округе: 74,1 тыс. сейчас и 78,0 тыс. к 2028. Субсидия Московской области 14 500 ₽/мес на ребёнка после лицензирования меняет экономику сада. Терраса — прогулочная зона, которой нет ни у одного конкурента</w:t>
            </w:r>
          </w:p>
        </w:tc>
        <w:tc>
          <w:tcPr>
            <w:tcW w:type="dxa" w:w="20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 целиком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или блок</w:t>
            </w:r>
          </w:p>
        </w:tc>
      </w:tr>
      <w:tr>
        <w:tc>
          <w:tcPr>
            <w:tcW w:type="dxa" w:w="2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2. Бьюти-коворкинг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и бьюти-сети</w:t>
            </w:r>
          </w:p>
        </w:tc>
        <w:tc>
          <w:tcPr>
            <w:tcW w:type="dxa" w:w="5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 здании уже работают пять бьюти-операторов, и ещё две студии на 3-м этаже закрылись, оставив клиентуру. Мастера массово уходят из салонов в аренду рабочего места. Мокрая точка есть, мощность 670 кВт</w:t>
            </w:r>
          </w:p>
        </w:tc>
        <w:tc>
          <w:tcPr>
            <w:tcW w:type="dxa" w:w="20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 целиком, №2, №3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3. Студийный фитнес,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пилатес, EMS</w:t>
            </w:r>
          </w:p>
        </w:tc>
        <w:tc>
          <w:tcPr>
            <w:tcW w:type="dxa" w:w="5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Рынок фитнеса РФ: 316,5 млрд ₽ в 2025 (+20%), прогноз 365 млрд ₽ на 2026. Потолки 3,9 м — прямое требование студийных форматов и редкость для района. Посещение по записи не перегружает парковку</w:t>
            </w:r>
          </w:p>
        </w:tc>
        <w:tc>
          <w:tcPr>
            <w:tcW w:type="dxa" w:w="20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№1, блоки 75–150 м²</w:t>
            </w:r>
          </w:p>
        </w:tc>
      </w:tr>
      <w:tr>
        <w:tc>
          <w:tcPr>
            <w:tcW w:type="dxa" w:w="2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4. Медицина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и лаборатории</w:t>
            </w:r>
          </w:p>
        </w:tc>
        <w:tc>
          <w:tcPr>
            <w:tcW w:type="dxa" w:w="5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Здание нежилое — значит медицинская лицензия на 2-м этаже возможна, чего не могут предложить встроенные помещения соседних ЖК. Гемотест прямо допускает этаж «не ниже первого». Ильинская больница в Глухово подтверждает медицинский профиль локации</w:t>
            </w:r>
          </w:p>
        </w:tc>
        <w:tc>
          <w:tcPr>
            <w:tcW w:type="dxa" w:w="20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 (блок 60–90 м²), №3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5. Мебель, кухни,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интерьерные шоурумы</w:t>
            </w:r>
          </w:p>
        </w:tc>
        <w:tc>
          <w:tcPr>
            <w:tcW w:type="dxa" w:w="5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Покупка плановая, а не импульсная — верхний этаж не мешает. Потолки 3,9 м позволяют выставить высокие колонны. Аудитория коттеджных посёлков ремонтирует и обставляет дома. «Кухонный Двор» уже открыл новый салон в соседнем Одинцово</w:t>
            </w:r>
          </w:p>
        </w:tc>
        <w:tc>
          <w:tcPr>
            <w:tcW w:type="dxa" w:w="20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№1, блок 150–200 м²</w:t>
            </w:r>
          </w:p>
        </w:tc>
      </w:tr>
    </w:tbl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Шестое и седьмое направления — с оговорками. Ветеринария: аудитория коттеджных посёлков подходит идеально, но экспансия найденных сетей не подтверждена, поэтому идти нужно к локальным операторам. Языковые школы и IT-образование для детей: занятия во второй половине дня точно попадают в дневной профиль загруженности, но сегмент конкурентный и требует проверки, нет ли оператора в «Ильинских лугах».</w:t>
      </w:r>
    </w:p>
    <w:p>
      <w:pPr>
        <w:pStyle w:val="Heading1"/>
        <w:pageBreakBefore/>
        <w:pBdr>
          <w:bottom w:val="single" w:color="B8860B" w:sz="10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7. Сценарии и оценка NPV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Горизонт — 36 месяцев. Ставка дисконтирования 18% годовых: ключевая ставка ЦБ 14% на 11.09.2026 плюс премия за риск 4 процентных пункта. Эксплуатационные расходы на вакантную площадь, которые несёт собственник, приняты в 3 000 ₽/м²/год. Индексация аренды 7% с 13-го и 25-го месяцев. Все допущения перечислены в приложении.</w:t>
      </w:r>
    </w:p>
    <w:p>
      <w:pPr>
        <w:spacing w:after="170" w:before="120"/>
        <w:jc w:val="center"/>
      </w:pPr>
      <w:r>
        <w:drawing>
          <wp:inline distT="0" distB="0" distL="0" distR="0">
            <wp:extent cx="62865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300"/>
        <w:gridCol w:w="3900"/>
        <w:gridCol w:w="1250"/>
        <w:gridCol w:w="1350"/>
        <w:gridCol w:w="1306"/>
      </w:tblGrid>
      <w:tr>
        <w:trPr>
          <w:tblHeader/>
        </w:trPr>
        <w:tc>
          <w:tcPr>
            <w:tcW w:type="dxa" w:w="23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Сценарий</w:t>
            </w:r>
          </w:p>
        </w:tc>
        <w:tc>
          <w:tcPr>
            <w:tcW w:type="dxa" w:w="39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Что делаем</w:t>
            </w:r>
          </w:p>
        </w:tc>
        <w:tc>
          <w:tcPr>
            <w:tcW w:type="dxa" w:w="12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CAPEX</w:t>
            </w:r>
          </w:p>
        </w:tc>
        <w:tc>
          <w:tcPr>
            <w:tcW w:type="dxa" w:w="13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NPV за 3 года</w:t>
            </w:r>
          </w:p>
        </w:tc>
        <w:tc>
          <w:tcPr>
            <w:tcW w:type="dxa" w:w="13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Прирост к «как есть»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A. Оставить как есть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Ничего не меняем. По модели №1 уходит на 30-м месяце по текущей ставке; №2 и №3 не сдаются за горизонт — за три года при этих ставках спроса не возникло, оснований ждать иного нет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−0,34 млн ₽</w:t>
            </w:r>
          </w:p>
        </w:tc>
        <w:tc>
          <w:tcPr>
            <w:tcW w:type="dxa" w:w="1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B. Коррекция цены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и упаковки</w:t>
            </w:r>
          </w:p>
        </w:tc>
        <w:tc>
          <w:tcPr>
            <w:tcW w:type="dxa" w:w="3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№2 → 30 000 ₽/м²/год, №3 → 22 000 ₽/м²/год и переупаковка в бьюти-студию. №1 без изменения ставки. Съёмка, тексты, выход на площадки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0,35 млн ₽</w:t>
            </w:r>
          </w:p>
        </w:tc>
        <w:tc>
          <w:tcPr>
            <w:tcW w:type="dxa" w:w="135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6,23 млн ₽</w:t>
            </w:r>
          </w:p>
        </w:tc>
        <w:tc>
          <w:tcPr>
            <w:tcW w:type="dxa" w:w="1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+6,57 млн ₽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C. Реконцепция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То же, что в B, плюс нарезка №1 на три блока (150 / 130 / 150,5 м²) по ~1 500 ₽/м²/мес с вводом на 7, 11 и 16-м месяцах, каникулы 2 месяца. Благоустройство террасы, ремонт лестницы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7,0 млн ₽</w:t>
            </w:r>
          </w:p>
        </w:tc>
        <w:tc>
          <w:tcPr>
            <w:tcW w:type="dxa" w:w="135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8,36 млн ₽</w:t>
            </w:r>
          </w:p>
        </w:tc>
        <w:tc>
          <w:tcPr>
            <w:tcW w:type="dxa" w:w="1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+8,70 млн ₽</w:t>
            </w:r>
          </w:p>
        </w:tc>
      </w:tr>
      <w:tr>
        <w:tc>
          <w:tcPr>
            <w:tcW w:type="dxa" w:w="2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D. Якорь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по льготной ставке</w:t>
            </w:r>
          </w:p>
        </w:tc>
        <w:tc>
          <w:tcPr>
            <w:tcW w:type="dxa" w:w="3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 целиком одному оператору (частный сад или фитнес) по 10 800 ₽/м²/год с каникулами 6 месяцев и участием собственника в отделке на 3,0 млн ₽. Якорь генерирует трафик, поэтому №2 и №3 уходят быстрее и дороже: 32 000 и 24 000 ₽/м²/год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3,35 млн ₽</w:t>
            </w:r>
          </w:p>
        </w:tc>
        <w:tc>
          <w:tcPr>
            <w:tcW w:type="dxa" w:w="135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9,10 млн ₽</w:t>
            </w:r>
          </w:p>
        </w:tc>
        <w:tc>
          <w:tcPr>
            <w:tcW w:type="dxa" w:w="1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B7A3D"/>
                <w:sz w:val="17"/>
                <w:szCs w:val="17"/>
              </w:rPr>
              <w:t xml:space="preserve">+9,44 млн ₽</w:t>
            </w:r>
          </w:p>
        </w:tc>
      </w:tr>
    </w:tbl>
    <w:tbl>
      <w:tblPr>
        <w:tblW w:type="dxa" w:w="10106"/>
        <w:tblBorders>
          <w:top w:val="none"/>
          <w:left w:val="single" w:color="123A5F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EEF2F6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23A5F"/>
                <w:sz w:val="21"/>
                <w:szCs w:val="21"/>
              </w:rPr>
              <w:t xml:space="preserve">Как читать эту таблицу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Сценарий A даёт отрицательный NPV не потому, что модель пессимистична, а потому, что эксплуатация 515 вакантных метров стоит около 1,55 млн ₽ в год и за три года съедает всё, что приносит поздняя сдача одного помещения. Бездействие здесь не нейтрально — оно стоит денег.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Сценарий D даёт лучший NPV при вдвое меньшем CAPEX, чем сценарий C. Причина: якорь одновременно закрывает самую трудную площадь и создаёт трафик для двух малых лотов, тогда как нарезка в сценарии C решает только первую задачу и растягивает заполнение на 16 месяцев.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Сценарий B при затратах 350 тыс. ₽ captures около 70% эффекта сценария D. Это лучший показатель отдачи на вложенный рубль в таблице, и именно с него следует начинать — он не конфликтует ни с C, ни с D и может выполняться параллельно.</w:t>
            </w:r>
          </w:p>
        </w:tc>
      </w:tr>
    </w:tbl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Рекомендация.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Выполнить B немедленно как самостоятельный шаг, параллельно начав переговоры по D. Сценарий C держать как запасной на случай, если якорного арендатора на всю площадь №1 найти не удастся за 6 месяцев: нарезка — это способ продать площадь, которую не купили целиком, и начинать с неё дорого и преждевременно.</w:t>
      </w:r>
    </w:p>
    <w:p>
      <w:pPr>
        <w:spacing w:after="190" w:before="60"/>
      </w:pPr>
      <w:r>
        <w:rPr>
          <w:rFonts w:ascii="Georgia" w:cs="Georgia" w:eastAsia="Georgia" w:hAnsi="Georgia"/>
          <w:i/>
          <w:iCs/>
          <w:color w:val="5B6570"/>
          <w:sz w:val="16"/>
          <w:szCs w:val="16"/>
        </w:rPr>
        <w:t xml:space="preserve">Модель детерминированная: сроки сдачи заданы допущениями, а не вероятностным распределением. Она показывает порядок величин и ранжирование сценариев, а не точный прогноз. Основные риски: сроки сдачи могут сдвинуться вправо; ставки на переговорах могут оказаться ниже; CAPEX по сценарию C оценён укрупнённо и требует сметы.</w:t>
      </w:r>
    </w:p>
    <w:p>
      <w:pPr>
        <w:pStyle w:val="Heading1"/>
        <w:pageBreakBefore/>
        <w:pBdr>
          <w:bottom w:val="single" w:color="B8860B" w:sz="10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8. План действий на 90 дней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Дни 1–14: то, что стоит ноль и даёт больше всего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4500"/>
        <w:gridCol w:w="1900"/>
        <w:gridCol w:w="3706"/>
      </w:tblGrid>
      <w:tr>
        <w:trPr>
          <w:tblHeader/>
        </w:trPr>
        <w:tc>
          <w:tcPr>
            <w:tcW w:type="dxa" w:w="45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Действие</w:t>
            </w:r>
          </w:p>
        </w:tc>
        <w:tc>
          <w:tcPr>
            <w:tcW w:type="dxa" w:w="19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Ответственный</w:t>
            </w:r>
          </w:p>
        </w:tc>
        <w:tc>
          <w:tcPr>
            <w:tcW w:type="dxa" w:w="37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Пересчитать ставки: №2 → 99 тыс. ₽/мес, №3 → 83 тыс. ₽/мес. №1 оставить, но переупаковать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Собственник</w:t>
            </w:r>
          </w:p>
        </w:tc>
        <w:tc>
          <w:tcPr>
            <w:tcW w:type="dxa" w:w="37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Ставки в рынке впервые за 3 года</w:t>
            </w:r>
          </w:p>
        </w:tc>
      </w:tr>
      <w:tr>
        <w:tc>
          <w:tcPr>
            <w:tcW w:type="dxa" w:w="4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Опубликовать в каждом объявлении: НДС, OPEX, коммунальные, обеспечительный платёж, каникулы, индексацию, срок договора</w:t>
            </w:r>
          </w:p>
        </w:tc>
        <w:tc>
          <w:tcPr>
            <w:tcW w:type="dxa" w:w="1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Объект становится считаемым для сетевого арендатора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Переписать №3: убрать слово «офис», продавать готовую бьюти-/медицинскую студию с отделкой и мокрой точкой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Попадание в реальный спрос</w:t>
            </w:r>
          </w:p>
        </w:tc>
      </w:tr>
      <w:tr>
        <w:tc>
          <w:tcPr>
            <w:tcW w:type="dxa" w:w="4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Переписать №2: убрать «торговая площадь» и упоминание ПВЗ Wildberries. Продавать помещение под услуги: барбершоп, маникюр, ремонт электроники</w:t>
            </w:r>
          </w:p>
        </w:tc>
        <w:tc>
          <w:tcPr>
            <w:tcW w:type="dxa" w:w="1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Прекращается поток заведомо отказных обращений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Переписать №1: выбрать одно назначение вместо четырёх. Рекомендуем детский сад / студийный фитнес / бьюти-коворкинг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Адресат узнаёт в описании своё помещение</w:t>
            </w:r>
          </w:p>
        </w:tc>
      </w:tr>
      <w:tr>
        <w:tc>
          <w:tcPr>
            <w:tcW w:type="dxa" w:w="4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Заказать выписку ЕГРН, исправить кадастровый номер во всех объявлениях</w:t>
            </w:r>
          </w:p>
        </w:tc>
        <w:tc>
          <w:tcPr>
            <w:tcW w:type="dxa" w:w="1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Юрист</w:t>
            </w:r>
          </w:p>
        </w:tc>
        <w:tc>
          <w:tcPr>
            <w:tcW w:type="dxa" w:w="37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Снят юридический блокер сделки</w:t>
            </w:r>
          </w:p>
        </w:tc>
      </w:tr>
    </w:tbl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Дни 15–45: каналы и устранение физических блокеров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5600"/>
        <w:gridCol w:w="1400"/>
        <w:gridCol w:w="3106"/>
      </w:tblGrid>
      <w:tr>
        <w:trPr>
          <w:tblHeader/>
        </w:trPr>
        <w:tc>
          <w:tcPr>
            <w:tcW w:type="dxa" w:w="5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Действие</w:t>
            </w:r>
          </w:p>
        </w:tc>
        <w:tc>
          <w:tcPr>
            <w:tcW w:type="dxa" w:w="14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Бюджет</w:t>
            </w:r>
          </w:p>
        </w:tc>
        <w:tc>
          <w:tcPr>
            <w:tcW w:type="dxa" w:w="31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c>
          <w:tcPr>
            <w:tcW w:type="dxa" w:w="5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Профессиональная фотосъёмка всех трёх помещений: дневной свет, широкий угол, планировки с размерами, снимок террасы с визуализацией благоустройства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~120 тыс. ₽</w:t>
            </w:r>
          </w:p>
        </w:tc>
        <w:tc>
          <w:tcPr>
            <w:tcW w:type="dxa" w:w="31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Замена фотографий, где «офис» выглядит как салон</w:t>
            </w:r>
          </w:p>
        </w:tc>
      </w:tr>
      <w:tr>
        <w:tc>
          <w:tcPr>
            <w:tcW w:type="dxa" w:w="5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Размещение на ЦИАН, Авито, Яндекс.Недвижимости — первый независимый канал за 3 года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~180 тыс. ₽/год</w:t>
            </w:r>
          </w:p>
        </w:tc>
        <w:tc>
          <w:tcPr>
            <w:tcW w:type="dxa" w:w="31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Выход за пределы единственной аффилированной площадки</w:t>
            </w:r>
          </w:p>
        </w:tc>
      </w:tr>
      <w:tr>
        <w:tc>
          <w:tcPr>
            <w:tcW w:type="dxa" w:w="5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Привлечь 2–3 независимых брокеров по коммерческой недвижимости на комиссию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комиссия</w:t>
            </w:r>
          </w:p>
        </w:tc>
        <w:tc>
          <w:tcPr>
            <w:tcW w:type="dxa" w:w="31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Внешняя воронка и внешняя проверка позиционирования</w:t>
            </w:r>
          </w:p>
        </w:tc>
      </w:tr>
      <w:tr>
        <w:tc>
          <w:tcPr>
            <w:tcW w:type="dxa" w:w="5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Устранить риск по лестнице: антискользящее покрытие, поручни, контрастная маркировка ступеней, освещение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31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Снят юридический риск и главная претензия в отзывах; открыт путь к детским и медицинским арендаторам</w:t>
            </w:r>
          </w:p>
        </w:tc>
      </w:tr>
      <w:tr>
        <w:tc>
          <w:tcPr>
            <w:tcW w:type="dxa" w:w="5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Проверить и зафиксировать фактическое число парковочных мест; договориться о разметке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31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Устранено расхождение 12 / 42 / 57</w:t>
            </w:r>
          </w:p>
        </w:tc>
      </w:tr>
      <w:tr>
        <w:tc>
          <w:tcPr>
            <w:tcW w:type="dxa" w:w="5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Получить техническое заключение о возможности установки лифта и его стоимости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~100 тыс. ₽</w:t>
            </w:r>
          </w:p>
        </w:tc>
        <w:tc>
          <w:tcPr>
            <w:tcW w:type="dxa" w:w="31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Решение по Яндекс Маркет ПВЗ и по всей детско-медицинской воронке</w:t>
            </w:r>
          </w:p>
        </w:tc>
      </w:tr>
      <w:tr>
        <w:tc>
          <w:tcPr>
            <w:tcW w:type="dxa" w:w="5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Обновить презентацию объекта: текущий состав арендаторов, реальные данные по трафику, планировки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~60 тыс. ₽</w:t>
            </w:r>
          </w:p>
        </w:tc>
        <w:tc>
          <w:tcPr>
            <w:tcW w:type="dxa" w:w="31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Материалы перестают противоречить действительности</w:t>
            </w:r>
          </w:p>
        </w:tc>
      </w:tr>
    </w:tbl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Дни 46–90: адресная работа по тир-листу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5300"/>
        <w:gridCol w:w="4806"/>
      </w:tblGrid>
      <w:tr>
        <w:trPr>
          <w:tblHeader/>
        </w:trPr>
        <w:tc>
          <w:tcPr>
            <w:tcW w:type="dxa" w:w="53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Действие</w:t>
            </w:r>
          </w:p>
        </w:tc>
        <w:tc>
          <w:tcPr>
            <w:tcW w:type="dxa" w:w="48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Цель</w:t>
            </w:r>
          </w:p>
        </w:tc>
      </w:tr>
      <w:tr>
        <w:tc>
          <w:tcPr>
            <w:tcW w:type="dxa" w:w="5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Обзвон и письма по 6 компаниям тира S и 20 компаниям тира A с индивидуальным предложением под конкретное помещение</w:t>
            </w:r>
          </w:p>
        </w:tc>
        <w:tc>
          <w:tcPr>
            <w:tcW w:type="dxa" w:w="4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 менее 15 содержательных контактов и 5 показов</w:t>
            </w:r>
          </w:p>
        </w:tc>
      </w:tr>
      <w:tr>
        <w:tc>
          <w:tcPr>
            <w:tcW w:type="dxa" w:w="5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 предложении первой строкой указывать: здание нежилое, значит медицинская, стоматологическая и детская лицензия на 2-м этаже возможна</w:t>
            </w:r>
          </w:p>
        </w:tc>
        <w:tc>
          <w:tcPr>
            <w:tcW w:type="dxa" w:w="48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Единственное преимущество, которого нет у встроенных помещений соседних ЖК</w:t>
            </w:r>
          </w:p>
        </w:tc>
      </w:tr>
      <w:tr>
        <w:tc>
          <w:tcPr>
            <w:tcW w:type="dxa" w:w="5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Переговоры по сценарию D: якорь в №1 с каникулами 6 месяцев и участием в отделке</w:t>
            </w:r>
          </w:p>
        </w:tc>
        <w:tc>
          <w:tcPr>
            <w:tcW w:type="dxa" w:w="4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Подписанный протокол о намерениях с одним якорем</w:t>
            </w:r>
          </w:p>
        </w:tc>
      </w:tr>
      <w:tr>
        <w:tc>
          <w:tcPr>
            <w:tcW w:type="dxa" w:w="5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Развести матрицу арендаторов Корпуса I и Корпуса II, чтобы прекратить внутреннюю конкуренцию</w:t>
            </w:r>
          </w:p>
        </w:tc>
        <w:tc>
          <w:tcPr>
            <w:tcW w:type="dxa" w:w="48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Корпус II — торговля и сервис у дороги; Корпус I — услуги, детское, здоровье</w:t>
            </w:r>
          </w:p>
        </w:tc>
      </w:tr>
      <w:tr>
        <w:tc>
          <w:tcPr>
            <w:tcW w:type="dxa" w:w="5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Заказать собственный замер трафика по ГОСТ 32965-2014: 3 будних дня, пятница, суббота, воскресенье</w:t>
            </w:r>
          </w:p>
        </w:tc>
        <w:tc>
          <w:tcPr>
            <w:tcW w:type="dxa" w:w="4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Своя цифра вместо чужой, завышенной в 4–5 раз</w:t>
            </w:r>
          </w:p>
        </w:tc>
      </w:tr>
      <w:tr>
        <w:tc>
          <w:tcPr>
            <w:tcW w:type="dxa" w:w="5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Построить изохрону транспортной доступности 10/15/20 минут</w:t>
            </w:r>
          </w:p>
        </w:tc>
        <w:tc>
          <w:tcPr>
            <w:tcW w:type="dxa" w:w="48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Корректная зона охвата вместо радиуса, искажённого Москвой-рекой</w:t>
            </w:r>
          </w:p>
        </w:tc>
      </w:tr>
    </w:tbl>
    <w:p>
      <w:pPr>
        <w:pStyle w:val="Heading1"/>
        <w:pageBreakBefore/>
        <w:pBdr>
          <w:bottom w:val="single" w:color="B8860B" w:sz="10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9. Источники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Объект и объявления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metrplus.com — «Торговая площадь с террасой ТЦ «Амбар-1»», обновлено 27.07.2026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metrplus.com — «Торговая площадь 39,6 м² ТЦ «Амбар-1»», обновлено 27.07.2026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metrplus.com — «Офис на первой линии, БЦ «Амбар»», обновлено 12.08.2026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metrplus.com — «Аренда помещений в торговом центре «Амбар 2»», обновлено 27.07.2026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metrplus.com — «Наши объекты: Торговый центр в Ильинском» (кадастровый номер 50:11:0050502:1759)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Презентация собственника «Торговый центр Амбар», PDF, metrplus.com, создана 23.06.2023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Яндекс.Карты — карточка ТЦ «Амбар», рейтинг 4,4, 68 оценок, 18 отзывов, доступ 18.09.2026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Яндекс.Карты — карточки арендаторов: «Магнолия», «Пятёрочка», La Poste, «Республика», «Ирис», «Бьюти Сфера», «СтандАрт», «Аптека 36,6», Giselle, «Студия тела Андросовой М.», «Студия красоты by Кулинич»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rusprofile.ru / companies.rbc.ru — ООО «Природа-Инвест», ИНН 7722605826, ОГРН 5077746351678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Бенчмарк арендных ставок (43 компа)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move.ru — объявления по с. Ильинское (ул. Ленина 11, 30, 4), Горки-2, Горки-10, Жуковка, Раздоры, Нахабино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arendacre.mirkvartir.ru — объявления по ул. Ленина 11, 26, 30, 10 (ID 3998415, 3619958, 3585838, 3903090)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shopandmall.ru — ТЦ «Ильинский» (GLA 6 300 м², 70 000 чел./мес, ставки 14 400–48 000 ₽/м²/год); ТРК «Павлово Подворье»; Барвиха Luxury Village; Dream House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realestate.ru — объявления по с. Архангельское, д. 27 (ID 102654214, 102657733, 102654215, 102657734, 102651651)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shopandmall.ru — Николо-Урюпино, ЖК «Гранель Аникеевский»; Глухово, ЖК «Новая Рига»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gladston.ru/42457 — Ильинское-Усово, ЖК «Ильинские Луга» (объект реализован)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n1.ru — БЦ «Красногорск Плаза», Ильинское шоссе, 1А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NF Group. Рынок торговой недвижимости Москвы, I полугодие 2026 (media.kf.expert)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РБК-Недвижимость. «Что будет с рынком торговой недвижимости в Москве в 2026 году», 28.01.2026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Retail.ru / IBC Real Estate. «Доля вакантных площадей в ТЦ Москвы достигла 11%», 04.09.2026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Коммерсантъ. «Аренда торговых помещений в Москве: цены и тренды 2026»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Банк России — ключевая ставка 14,00%, решение от 11.09.2026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Локация, трафик, конкуренты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Проект генерального плана городского округа Красногорск, материалы по обоснованию, Том I, 2018 — krasnogorsk-adm.ru (полосность А-109, табл. 2.2.1 интенсивности, табл. 2.3.1.1 реконструкции)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Интерфакс. Открытие Рублёво-Архангельской линии и станции «Ильинская», 05.09.2026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МК. «Красногорск поехал быстрее», 28.06.2019 (узел Волоколамское × Ильинское шоссе)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Яндекс. Исследование «Подмосковные пробки в дачный сезон»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2ГИС — ТЦ «Ильинский», 56 организаций, рейтинг 4,9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tc-oktyabr.ru — поэтажная раскладка ТЦ «Октябрь», Павловская Слобода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tc-dvor.ru — ТЦ «Княжий двор»; podvorie.com — ТРК «Павлово Подворье»; ilinka-village.clients.site — ТК «Ильинка Вилладж»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rasp.yandex.ru — остановка «Ильинское, улица Ленина»; ginfo.ru, moscowmap.ru — маршруты 540, 541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Демография, строительство, доходы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Постановление администрации г.о. Красногорск № 2760/10 от 16.10.2025 «О прогнозе социально-экономического развития на 2026–2028 годы», Приложения 1 и 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Доклад главы г.о. Красногорск о достигнутых значениях показателей (Указ Президента № 607) за 2025 год, опубликован 30.04.2026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Росстат — численность населения РФ по муниципальным образованиям на 1 января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pik.ru/il-luga, erzrf.ru — ЖК «Ильинские луга», застройщик ООО «СЗ «ГрадОлимп»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МК. «Власти Подмосковья нашли оригинальный способ решения демографической проблемы», 29.10.2025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NF Group — элитная загородная недвижимость Московского региона, октябрь 2025 (спрос −41% г/г)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Intermark. «Рынок премиальной загородной недвижимости Подмосковья. Итоги 2024»; PMR TOP-100, III квартал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РБК-Недвижимость со ссылкой на ИНКОМ-Недвижимость, 25.10.2018 — доля постоянного проживания 70% в радиусе 40 км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Интерфакс — реальные располагаемые доходы РФ: итог 2025 (+7,4%), I и II кварталы 2026 (+1,5%)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audit-it.ru / ЕМИСС — среднемесячная зарплата по Московской области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Арендаторы и сети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franshiza.ru — Гемотест, ИНВИТРО, «Чемпионика», Cofix, «Сёма», «ТОЧКА красоты», «Чистофф», «Мария»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franchise.kdl.ru; Коммерсантъ, 05.02.2025; РИА Новости, 10.12.2025 — KDL | Медскан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laserlove.ru/blog/franchise/strategya-2026 — стратегия Laser Love на 2026, 13.03.2026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fr.baby-club.ru/detskij-sad; topfranchise.ru — «Сёма», «Первый алгоритм», BRITVA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offers.4hands.ru; solosalon.ru; glowfranshiza.ru; oldboybarbershop.com; persona-franshiza.ru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artofpilates-franchise.ru; pilates.life/franchise; biz.fit-n-go.ru; ddxfitness.ru/real-estate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insport365.com — план DDX Fitness на 2026, заявлен 18.06.2026 на форуме «Движение»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RETAILER.ru, 17.06.2026 — «Кофе Лайк» откроет 150 кофеен в 2026; Cofix, Coffee Way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New Retail, 22.12.2025 — сеть «Четыре Лапы» открыла 600-й зоомагазин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Retail.ru, 17.08.2026 — сеть «Мокрый нос» объявила о поиске помещений в 46 городах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Retail.ru; Forbes, май 2026 — аптечная сеть «Апрель»; Бетховен; «Кухонный Двор»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market.yandex.ru/lp/market-pvz — требования Яндекс Маркет ПВЗ; регламенты Wildberries и Ozon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poliglotiki.ru; biz.algoritmika.org; beboss.ru — «Детская страна»; franshiza.pedant.ru; dryclean.ru/partner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wspace.space/franchise; RB.RU — сокращение ввода гибких офисов в Москве</w:t>
      </w:r>
    </w:p>
    <w:p>
      <w:pPr>
        <w:pStyle w:val="Heading1"/>
        <w:pageBreakBefore/>
        <w:pBdr>
          <w:bottom w:val="single" w:color="B8860B" w:sz="10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10. Приложение: методология, допущения и ограничения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10.1. Методология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Первичный сбор: извлечение полного текста и всех фотографий трёх объявлений; скачано и просмотрено 29 фотографий, включая поэтажные планы БТИ и схему участка.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Бенчмарк: 43 сопоставимых предложения по четырём кластерам, собранные 18.09.2026. Пересчёт ₽/м²/год = ставка ₽/мес × 12 ÷ площадь. Поправочные коэффициенты выведены из парных предложений внутри одного здания, а не взяты из отраслевых средних.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Трафик: три независимых метода оценки (от технической категории дороги, от пропускной способности, от аналога в той же таблице генплана), дающие сходящийся диапазон.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Демография: приоритет отдан первоисточникам — постановлению администрации округа и докладу главы, а не агрегаторам новостроек.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NPV: детерминированная модель месячных денежных потоков на 36 месяцев, ставка дисконтирования 18% годовых.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10.2. Ключевые допущения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3100"/>
        <w:gridCol w:w="1900"/>
        <w:gridCol w:w="5106"/>
      </w:tblGrid>
      <w:tr>
        <w:trPr>
          <w:tblHeader/>
        </w:trPr>
        <w:tc>
          <w:tcPr>
            <w:tcW w:type="dxa" w:w="31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Допущение</w:t>
            </w:r>
          </w:p>
        </w:tc>
        <w:tc>
          <w:tcPr>
            <w:tcW w:type="dxa" w:w="19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51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Ставка дисконтирования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18% годовых</w:t>
            </w:r>
          </w:p>
        </w:tc>
        <w:tc>
          <w:tcPr>
            <w:tcW w:type="dxa" w:w="51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Ключевая ставка ЦБ 14% на 11.09.2026 плюс премия за риск 4 п.п.</w:t>
            </w:r>
          </w:p>
        </w:tc>
      </w:tr>
      <w:tr>
        <w:tc>
          <w:tcPr>
            <w:tcW w:type="dxa" w:w="3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Эксплуатация вакантной площади</w:t>
            </w:r>
          </w:p>
        </w:tc>
        <w:tc>
          <w:tcPr>
            <w:tcW w:type="dxa" w:w="1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3 000 ₽/м²/год</w:t>
            </w:r>
          </w:p>
        </w:tc>
        <w:tc>
          <w:tcPr>
            <w:tcW w:type="dxa" w:w="51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Оценка для малого ТЦ класса C в Подмосковье. Диапазон NF Group для галерей московских ТЦ (9 000–25 000) к этому объекту неприменим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Индексация аренды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7% с 13-го и 25-го месяцев</w:t>
            </w:r>
          </w:p>
        </w:tc>
        <w:tc>
          <w:tcPr>
            <w:tcW w:type="dxa" w:w="51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Обычная практика договоров</w:t>
            </w:r>
          </w:p>
        </w:tc>
      </w:tr>
      <w:tr>
        <w:tc>
          <w:tcPr>
            <w:tcW w:type="dxa" w:w="3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Коэффициент заселения</w:t>
            </w:r>
          </w:p>
        </w:tc>
        <w:tc>
          <w:tcPr>
            <w:tcW w:type="dxa" w:w="1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28 м² на человека</w:t>
            </w:r>
          </w:p>
        </w:tc>
        <w:tc>
          <w:tcPr>
            <w:tcW w:type="dxa" w:w="51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Выведен из официальных данных: 44,9 тыс. чел. на 1 257,8 тыс. м². Соответствует ≈1,9 чел./квартира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Доля круглогодичного проживания в КП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60–75%</w:t>
            </w:r>
          </w:p>
        </w:tc>
        <w:tc>
          <w:tcPr>
            <w:tcW w:type="dxa" w:w="51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Данные ИНКОМ 2018 года (70% для радиуса до 40 км) плюс тренд роста. Самая непрочная цифра отчёта</w:t>
            </w:r>
          </w:p>
        </w:tc>
      </w:tr>
      <w:tr>
        <w:tc>
          <w:tcPr>
            <w:tcW w:type="dxa" w:w="3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Поправка на 2-й этаж</w:t>
            </w:r>
          </w:p>
        </w:tc>
        <w:tc>
          <w:tcPr>
            <w:tcW w:type="dxa" w:w="1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0,70–0,75 к 1-му</w:t>
            </w:r>
          </w:p>
        </w:tc>
        <w:tc>
          <w:tcPr>
            <w:tcW w:type="dxa" w:w="51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Выведено из пары 42 м² / 38 м² в ТЦ «Ильинский»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Поправка на малый блок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×1,5–2,0</w:t>
            </w:r>
          </w:p>
        </w:tc>
        <w:tc>
          <w:tcPr>
            <w:tcW w:type="dxa" w:w="51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Выведено из пар внутри ТЦ «Ильинский» и подтверждено таблицей NF Group по размеру блока</w:t>
            </w:r>
          </w:p>
        </w:tc>
      </w:tr>
      <w:tr>
        <w:tc>
          <w:tcPr>
            <w:tcW w:type="dxa" w:w="3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1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 является надбавкой к ставке</w:t>
            </w:r>
          </w:p>
        </w:tc>
        <w:tc>
          <w:tcPr>
            <w:tcW w:type="dxa" w:w="51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Рыночной наценки в открытых источниках не существует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Веса причин вакансии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экспертная оценка</w:t>
            </w:r>
          </w:p>
        </w:tc>
        <w:tc>
          <w:tcPr>
            <w:tcW w:type="dxa" w:w="51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 результат статистического расчёта. Приведены для приоритизации действий, а не как измеренная величина</w:t>
            </w:r>
          </w:p>
        </w:tc>
      </w:tr>
    </w:tbl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10.3. Что проверить до принятия решений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900"/>
        <w:gridCol w:w="3900"/>
        <w:gridCol w:w="3306"/>
      </w:tblGrid>
      <w:tr>
        <w:trPr>
          <w:tblHeader/>
        </w:trPr>
        <w:tc>
          <w:tcPr>
            <w:tcW w:type="dxa" w:w="29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dxa" w:w="39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Почему это важно</w:t>
            </w:r>
          </w:p>
        </w:tc>
        <w:tc>
          <w:tcPr>
            <w:tcW w:type="dxa" w:w="33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Как проверить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Есть ли в здании работающий лифт?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На поэтажных планах БТИ 2-го и 3-го этажей лифт отсутствует — только две лестницы. От ответа зависят Яндекс Маркет ПВЗ, вся детская и медицинская воронка, мебельные шоурумы и доступность для МГН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Осмотр объекта. Планы БТИ могут не отражать позже установленное оборудование</w:t>
            </w:r>
          </w:p>
        </w:tc>
      </w:tr>
      <w:tr>
        <w:tc>
          <w:tcPr>
            <w:tcW w:type="dxa" w:w="2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Состояние лестницы</w:t>
            </w:r>
          </w:p>
        </w:tc>
        <w:tc>
          <w:tcPr>
            <w:tcW w:type="dxa" w:w="3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Публичный отзыв от 26.03.2025 описывает падение беременной женщины с 3-го на 2-й этаж с госпитализацией и утверждает, что падали и другие. Это одновременно юридический риск и блокер для детских и медицинских арендаторов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Осмотр, техническое заключение, немедленные меры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Кадастровый номер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 двух объявлениях указан номер соседнего здания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Выписка ЕГРН</w:t>
            </w:r>
          </w:p>
        </w:tc>
      </w:tr>
      <w:tr>
        <w:tc>
          <w:tcPr>
            <w:tcW w:type="dxa" w:w="2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Реальное число парковочных мест</w:t>
            </w:r>
          </w:p>
        </w:tc>
        <w:tc>
          <w:tcPr>
            <w:tcW w:type="dxa" w:w="3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Расхождение 12 / 42 / 57 между источниками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Замер и разметка на объекте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Условия аренды: НДС, OPEX, коммунальные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Ни в одном объявлении не указаны; без них сетевой арендатор не считает объект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Внутренние документы собственника</w:t>
            </w:r>
          </w:p>
        </w:tc>
      </w:tr>
      <w:tr>
        <w:tc>
          <w:tcPr>
            <w:tcW w:type="dxa" w:w="2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Совпадает ли помещение №3 с площадью закрывшейся бьюти-студии</w:t>
            </w:r>
          </w:p>
        </w:tc>
        <w:tc>
          <w:tcPr>
            <w:tcW w:type="dxa" w:w="3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От этого зависит скорость переупаковки и аргументация: предыдущий оператор имел рейтинг 5,0 и 57 отзывов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Сверка с собственником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Были ли входящие обращения за 3 года и почему отваливались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Этот вопрос был задан в исходной постановке, но данных у нас нет. Ответ мог бы существенно перевесить веса в дереве причин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Журнал обращений брокера</w:t>
            </w:r>
          </w:p>
        </w:tc>
      </w:tr>
      <w:tr>
        <w:tc>
          <w:tcPr>
            <w:tcW w:type="dxa" w:w="2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Фактическая вакансия Корпуса I</w:t>
            </w:r>
          </w:p>
        </w:tc>
        <w:tc>
          <w:tcPr>
            <w:tcW w:type="dxa" w:w="3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515,4 м² — это только то, что в экспозиции. Четыре арендатора закрылись, их площади в объявлениях не видны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Внутренние данные собственника</w:t>
            </w:r>
          </w:p>
        </w:tc>
      </w:tr>
    </w:tbl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10.4. Чего не удалось проверить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Росреестр и публичная кадастровая карта (pkk.rosreestr.ru, nspd.gov.ru) обрывали соединение. Ни площадь, ни год постройки, ни собственник официально не подтверждены — все цифры по зданию приводятся со слов брокера.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ЦИАН и Авито не отдали данные: captcha и WAF-блокировка. Карточку здания на ЦИАН удалось получить только через поисковую выдачу.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Прямых замеров интенсивности движения на А-109 в сечении села Ильинское в открытых источниках нет ни у Росавтодора, ни у ФКУ «Центравтомагистраль», ни у Минтранса Московской области. Единственный официальный замер — из генплана 2018 года, то есть ему восемь лет, и он не учитывает ни «Ильинские луга», ни метро «Ильинская».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Численность сёл Ильинское, Глухово, Николо-Урюпино и Петрово-Дальнее по переписи 2021 не опубликована; сайты Росстата и Мосстата отдавали ошибку 503. Используются данные переписи 2010 года.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Актуального исследования доли круглогодичного проживания в подмосковных коттеджных посёлках за 2024–2026 годы не существует в открытом доступе.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Поэтажная схема ТЦ «Ильинский» не опубликована: известно, что арендаторов 56, но их распределение по этажам неизвестно. Данных о вакантности конкурирующих объектов нет ни по одному.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Публичных арендных ставок конкретных сетей не раскрывает ни одна из 55 проверенных компаний и форматов — все ставки в тир-листе являются нашей оценкой платёжеспособности категории.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История изменения ставок по объекту не восстанавливается: объявления размещены единственным аффилированным каналом, объявлений от других брокеров не обнаружено.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Изохроны транспортной доступности 10/15/20 минут не строились; с учётом разделяющей роли Москвы-реки это обязательный следующий шаг.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10.5. Неразрешённое противоречие</w:t>
      </w:r>
    </w:p>
    <w:tbl>
      <w:tblPr>
        <w:tblW w:type="dxa" w:w="10106"/>
        <w:tblBorders>
          <w:top w:val="none"/>
          <w:left w:val="single" w:color="B8860B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FBF6EC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60B"/>
                <w:sz w:val="21"/>
                <w:szCs w:val="21"/>
              </w:rPr>
              <w:t xml:space="preserve">Презентация 2023 года описывает Корпус I как полностью сданный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Презентация собственника, созданная 23.06.2023, помечает Корпус I (ул. Ленина, 28) словом «сдан» и перечисляет арендаторов на всех этажах, включая 2-й и 3-й.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Исходная постановка задачи говорит, что три помещения вакантны непрерывно примерно с 2023 года.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Эти два утверждения несовместимы. Возможные объяснения: презентация отражала план, а не факт; арендаторы съехали сразу после сделки; либо слово «сдан» относилось к части корпуса. Разрешить противоречие по открытым источникам невозможно — требуется ответ собственника. От него зависит, считать ли причиной вакансии исходное качество продукта или последующий отток арендаторов.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1080" w:right="900" w:bottom="9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cs="Georgia" w:eastAsia="Georgia" w:hAnsi="Georgia"/>
        <w:color w:val="5B6570"/>
        <w:sz w:val="17"/>
        <w:szCs w:val="17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cs="Georgia" w:eastAsia="Georgia" w:hAnsi="Georgia"/>
        <w:color w:val="5B6570"/>
        <w:sz w:val="17"/>
        <w:szCs w:val="17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cs="Georgia" w:eastAsia="Georgia" w:hAnsi="Georgia"/>
        <w:color w:val="5B6570"/>
        <w:sz w:val="17"/>
        <w:szCs w:val="17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BE0" w:sz="5" w:space="7"/>
      </w:pBdr>
      <w:jc w:val="right"/>
    </w:pPr>
    <w:r>
      <w:rPr>
        <w:rFonts w:ascii="Georgia" w:cs="Georgia" w:eastAsia="Georgia" w:hAnsi="Georgia"/>
        <w:color w:val="5B6570"/>
        <w:sz w:val="15"/>
        <w:szCs w:val="15"/>
      </w:rPr>
      <w:t xml:space="preserve">ТЦ «Амбар 1» · с. Ильинское · исследование вакантных помещений · сентябрь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BE0" w:sz="5" w:space="7"/>
      </w:pBdr>
      <w:jc w:val="right"/>
    </w:pPr>
    <w:r>
      <w:rPr>
        <w:rFonts w:ascii="Georgia" w:cs="Georgia" w:eastAsia="Georgia" w:hAnsi="Georgia"/>
        <w:color w:val="5B6570"/>
        <w:sz w:val="15"/>
        <w:szCs w:val="15"/>
      </w:rPr>
      <w:t xml:space="preserve">ТЦ «Амбар 1» · с. Ильинское · исследование вакантных помещений · сентябрь 2026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BE0" w:sz="5" w:space="7"/>
      </w:pBdr>
      <w:jc w:val="right"/>
    </w:pPr>
    <w:r>
      <w:rPr>
        <w:rFonts w:ascii="Georgia" w:cs="Georgia" w:eastAsia="Georgia" w:hAnsi="Georgia"/>
        <w:color w:val="5B6570"/>
        <w:sz w:val="15"/>
        <w:szCs w:val="15"/>
      </w:rPr>
      <w:t xml:space="preserve">ТЦ «Амбар 1» · с. Ильинское · исследование вакантных помещений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  <w:rPr>
        <w:color w:val="B8860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b/>
        <w:bCs/>
        <w:color w:val="123A5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328"/>
        <w:sz w:val="21"/>
        <w:szCs w:val="21"/>
      </w:rPr>
    </w:rPrDefault>
    <w:pPrDefault>
      <w:pPr>
        <w:spacing w:after="110"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0"/>
    </w:pPr>
    <w:rPr>
      <w:rFonts w:ascii="Georgia" w:cs="Georgia" w:eastAsia="Georgia" w:hAnsi="Georgia"/>
      <w:b/>
      <w:bCs/>
      <w:color w:val="12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30" w:before="280"/>
    </w:pPr>
    <w:rPr>
      <w:rFonts w:ascii="Georgia" w:cs="Georgia" w:eastAsia="Georgia" w:hAnsi="Georgia"/>
      <w:b/>
      <w:bCs/>
      <w:color w:val="12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10"/>
    </w:pPr>
    <w:rPr>
      <w:rFonts w:ascii="Georgia" w:cs="Georgia" w:eastAsia="Georgia" w:hAnsi="Georgia"/>
      <w:b/>
      <w:bCs/>
      <w:color w:val="B8860B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25b94efc932158f7047a81e233d3c956b6cf2505.jpg"/><Relationship Id="rId14" Type="http://schemas.openxmlformats.org/officeDocument/2006/relationships/image" Target="media/efbad375f9c174320035dcac7fd8c5bd27000339.jpg"/><Relationship Id="rId15" Type="http://schemas.openxmlformats.org/officeDocument/2006/relationships/image" Target="media/0837aa9f4b5b519dc0fee48f6f2c3683d9ff65ca.jpg"/><Relationship Id="rId16" Type="http://schemas.openxmlformats.org/officeDocument/2006/relationships/image" Target="media/245df0ca5f36b7bd1a29de34241af8252554f69b.jpg"/><Relationship Id="rId17" Type="http://schemas.openxmlformats.org/officeDocument/2006/relationships/image" Target="media/f873ea74cc309c7ad8ff7b3942b68550b1957933.jpg"/><Relationship Id="rId18" Type="http://schemas.openxmlformats.org/officeDocument/2006/relationships/image" Target="media/9ffc53e0669a7d395937d555a199937439e39377.jpg"/><Relationship Id="rId19" Type="http://schemas.openxmlformats.org/officeDocument/2006/relationships/image" Target="media/8e3c778d7204590d89dff0ab02f4aa3478f3ddd5.jpg"/><Relationship Id="rId20" Type="http://schemas.openxmlformats.org/officeDocument/2006/relationships/image" Target="media/355d3b0359b78f479af0e84f255f064cad2ed8a4.jpg"/><Relationship Id="rId21" Type="http://schemas.openxmlformats.org/officeDocument/2006/relationships/image" Target="media/8a6e57fed472de0f5216b29a8a0c0e247a4a8e5a.jpg"/><Relationship Id="rId22" Type="http://schemas.openxmlformats.org/officeDocument/2006/relationships/image" Target="media/2ffa93ffb2c03a826d5fb6df29052872b652c103.jpg"/><Relationship Id="rId23" Type="http://schemas.openxmlformats.org/officeDocument/2006/relationships/image" Target="media/a6b302f5ce2c5990b56d6dd84e6de591d0f66f09.jpg"/><Relationship Id="rId24" Type="http://schemas.openxmlformats.org/officeDocument/2006/relationships/image" Target="media/8da4408031518214bfd56fbbb648c363a185e67d.png"/><Relationship Id="rId25" Type="http://schemas.openxmlformats.org/officeDocument/2006/relationships/image" Target="media/f9f9dec343e75f4378e59d5ea4219c0fc05adeac.png"/><Relationship Id="rId26" Type="http://schemas.openxmlformats.org/officeDocument/2006/relationships/image" Target="media/d1a8c5cc07e52a2877fb5e608136bcc0b60a3b44.png"/><Relationship Id="rId27" Type="http://schemas.openxmlformats.org/officeDocument/2006/relationships/image" Target="media/1b5aedc635f1df08f761a234a1898ba684c81d96.png"/><Relationship Id="rId28" Type="http://schemas.openxmlformats.org/officeDocument/2006/relationships/image" Target="media/613c9909b6c19ce59a6257ec6cb8c8fe0ee25304.png"/><Relationship Id="rId29" Type="http://schemas.openxmlformats.org/officeDocument/2006/relationships/image" Target="media/b588044c9b9a7c748fd47ed4a7e59dc0db42c02c.png"/><Relationship Id="rId30" Type="http://schemas.openxmlformats.org/officeDocument/2006/relationships/image" Target="media/791fcea629cb12afecac644f40aa472fe54ac701.png"/><Relationship Id="rId31" Type="http://schemas.openxmlformats.org/officeDocument/2006/relationships/image" Target="media/f5eb5066adc97dd72995f9fd30896cac30148b4e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ТЦ «Амбар 1» — исследование вакантных помещений</dc:title>
  <dc:creator>Аналитика коммерческой недвижимости</dc:creator>
  <dc:description>Диагностика вакансии, бенчмарк ставок, локационный анализ, тир-лист арендаторов</dc:description>
  <cp:lastModifiedBy>Un-named</cp:lastModifiedBy>
  <cp:revision>1</cp:revision>
  <dcterms:created xsi:type="dcterms:W3CDTF">2026-09-18T08:37:11.640Z</dcterms:created>
  <dcterms:modified xsi:type="dcterms:W3CDTF">2026-09-18T08:37:11.640Z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