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0" w:line="269" w:lineRule="auto"/>
        <w:jc w:val="left"/>
      </w:pPr>
    </w:p>
    <w:p>
      <w:pPr>
        <w:spacing w:before="0" w:after="0" w:line="269" w:lineRule="auto"/>
        <w:jc w:val="left"/>
      </w:pPr>
    </w:p>
    <w:p>
      <w:pPr>
        <w:spacing w:before="0" w:after="40" w:line="269" w:lineRule="auto"/>
        <w:jc w:val="left"/>
      </w:pPr>
      <w:r>
        <w:rPr>
          <w:rFonts w:ascii="Calibri" w:hAnsi="Calibri" w:cs="Calibri"/>
          <w:b/>
          <w:i w:val="0"/>
          <w:color w:val="6B7785"/>
          <w:sz w:val="22"/>
          <w:spacing w:val="60"/>
        </w:rPr>
        <w:t>ЕЖЕНЕДЕЛЬНАЯ АНАЛИТИКА</w:t>
      </w:r>
    </w:p>
    <w:p>
      <w:pPr>
        <w:spacing w:before="0" w:after="40" w:line="269" w:lineRule="auto"/>
        <w:jc w:val="left"/>
      </w:pPr>
      <w:r>
        <w:rPr>
          <w:rFonts w:ascii="Calibri" w:hAnsi="Calibri" w:cs="Calibri"/>
          <w:b/>
          <w:i w:val="0"/>
          <w:color w:val="1F3A5F"/>
          <w:sz w:val="60"/>
        </w:rPr>
        <w:t>Рынок недвижимости</w:t>
      </w:r>
    </w:p>
    <w:p>
      <w:pPr>
        <w:spacing w:before="0" w:after="200" w:line="269" w:lineRule="auto"/>
        <w:jc w:val="left"/>
      </w:pPr>
      <w:r>
        <w:rPr>
          <w:rFonts w:ascii="Calibri" w:hAnsi="Calibri" w:cs="Calibri"/>
          <w:b/>
          <w:i w:val="0"/>
          <w:color w:val="1F3A5F"/>
          <w:sz w:val="60"/>
        </w:rPr>
        <w:t>Нидерландов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none" w:sz="0"/>
          <w:left w:val="none" w:sz="0"/>
          <w:bottom w:val="none" w:sz="0"/>
          <w:right w:val="none" w:sz="0"/>
          <w:insideH w:val="none" w:sz="0"/>
          <w:insideV w:val="none" w:sz="0"/>
        </w:tblBorders>
        <w:tblW w:type="dxa" w:w="9525"/>
      </w:tblPr>
      <w:tblGrid>
        <w:gridCol w:w="3324"/>
        <w:gridCol w:w="3324"/>
        <w:gridCol w:w="3324"/>
      </w:tblGrid>
      <w:tr>
        <w:tc>
          <w:tcPr>
            <w:tcW w:type="dxa" w:w="3175"/>
            <w:shd w:val="clear" w:color="auto" w:fill="16846F"/>
          </w:tcPr>
          <w:p>
            <w:pPr>
              <w:spacing w:after="0"/>
            </w:pPr>
            <w:r>
              <w:rPr>
                <w:sz w:val="4"/>
              </w:rPr>
              <w:t xml:space="preserve"> </w:t>
            </w:r>
          </w:p>
        </w:tc>
        <w:tc>
          <w:tcPr>
            <w:tcW w:type="dxa" w:w="3175"/>
            <w:shd w:val="clear" w:color="auto" w:fill="C0791C"/>
          </w:tcPr>
          <w:p>
            <w:pPr>
              <w:spacing w:after="0"/>
            </w:pPr>
            <w:r>
              <w:rPr>
                <w:sz w:val="4"/>
              </w:rPr>
              <w:t xml:space="preserve"> </w:t>
            </w:r>
          </w:p>
        </w:tc>
        <w:tc>
          <w:tcPr>
            <w:tcW w:type="dxa" w:w="3175"/>
            <w:shd w:val="clear" w:color="auto" w:fill="2C5F8A"/>
          </w:tcPr>
          <w:p>
            <w:pPr>
              <w:spacing w:after="0"/>
            </w:pPr>
            <w:r>
              <w:rPr>
                <w:sz w:val="4"/>
              </w:rPr>
              <w:t xml:space="preserve"> </w:t>
            </w:r>
          </w:p>
        </w:tc>
      </w:tr>
    </w:tbl>
    <w:p>
      <w:pPr>
        <w:spacing w:before="0" w:after="160" w:line="269" w:lineRule="auto"/>
        <w:jc w:val="left"/>
      </w:pPr>
    </w:p>
    <w:p>
      <w:pPr>
        <w:spacing w:before="0" w:after="40" w:line="269" w:lineRule="auto"/>
        <w:jc w:val="left"/>
      </w:pPr>
      <w:r>
        <w:rPr>
          <w:rFonts w:ascii="Calibri" w:hAnsi="Calibri" w:cs="Calibri"/>
          <w:b/>
          <w:i w:val="0"/>
          <w:color w:val="222B36"/>
          <w:sz w:val="26"/>
        </w:rPr>
        <w:t xml:space="preserve">Период: </w:t>
      </w:r>
      <w:r>
        <w:rPr>
          <w:rFonts w:ascii="Calibri" w:hAnsi="Calibri" w:cs="Calibri"/>
          <w:b w:val="0"/>
          <w:i w:val="0"/>
          <w:color w:val="222B36"/>
          <w:sz w:val="26"/>
        </w:rPr>
        <w:t>30 июня – 2 июля 2026 г.</w:t>
      </w:r>
    </w:p>
    <w:p>
      <w:pPr>
        <w:spacing w:before="0" w:after="40" w:line="269" w:lineRule="auto"/>
        <w:jc w:val="left"/>
      </w:pPr>
      <w:r>
        <w:rPr>
          <w:rFonts w:ascii="Calibri" w:hAnsi="Calibri" w:cs="Calibri"/>
          <w:b/>
          <w:i w:val="0"/>
          <w:color w:val="6B7785"/>
          <w:sz w:val="22"/>
        </w:rPr>
        <w:t xml:space="preserve">Сегменты: </w:t>
      </w:r>
      <w:r>
        <w:rPr>
          <w:rFonts w:ascii="Calibri" w:hAnsi="Calibri" w:cs="Calibri"/>
          <w:b w:val="0"/>
          <w:i w:val="0"/>
          <w:color w:val="6B7785"/>
          <w:sz w:val="22"/>
        </w:rPr>
        <w:t>жилая недвижимость · коммерция (стрит-ритейл) · индустриальная (склады, промзоны)</w:t>
      </w:r>
    </w:p>
    <w:p>
      <w:pPr>
        <w:spacing w:before="40" w:after="280" w:line="269" w:lineRule="auto"/>
        <w:jc w:val="left"/>
      </w:pPr>
      <w:r>
        <w:rPr>
          <w:rFonts w:ascii="Calibri" w:hAnsi="Calibri" w:cs="Calibri"/>
          <w:b w:val="0"/>
          <w:i/>
          <w:color w:val="6B7785"/>
          <w:sz w:val="19"/>
        </w:rPr>
        <w:t>Отчёт сформирован: 2 июля 2026 г.</w:t>
      </w:r>
    </w:p>
    <w:p>
      <w:r>
        <w:br w:type="page"/>
      </w:r>
    </w:p>
    <w:p>
      <w:pPr>
        <w:keepNext/>
        <w:spacing w:before="280" w:after="80" w:line="269" w:lineRule="auto"/>
        <w:jc w:val="left"/>
        <w:pBdr>
          <w:bottom w:val="single" w:sz="14" w:space="3" w:color="1F3A5F"/>
        </w:pBdr>
      </w:pPr>
      <w:r>
        <w:rPr>
          <w:rFonts w:ascii="Calibri" w:hAnsi="Calibri" w:cs="Calibri"/>
          <w:b/>
          <w:i w:val="0"/>
          <w:color w:val="1F3A5F"/>
          <w:sz w:val="27"/>
        </w:rPr>
        <w:t>Главные выводы недели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none" w:sz="0"/>
          <w:left w:val="none" w:sz="0"/>
          <w:bottom w:val="none" w:sz="0"/>
          <w:right w:val="none" w:sz="0"/>
          <w:insideH w:val="none" w:sz="0"/>
          <w:insideV w:val="none" w:sz="0"/>
        </w:tblBorders>
        <w:tblW w:type="dxa" w:w="9525"/>
      </w:tblPr>
      <w:tblGrid>
        <w:gridCol w:w="9972"/>
      </w:tblGrid>
      <w:tr>
        <w:trPr>
          <w:cantSplit/>
        </w:trPr>
        <w:tc>
          <w:tcPr>
            <w:tcW w:type="dxa" w:w="9524"/>
            <w:shd w:val="clear" w:color="auto" w:fill="F4F6F8"/>
            <w:tcMar>
              <w:top w:w="110" w:type="dxa"/>
              <w:bottom w:w="110" w:type="dxa"/>
              <w:start w:w="200" w:type="dxa"/>
              <w:end w:w="200" w:type="dxa"/>
              <w:left w:w="200" w:type="dxa"/>
              <w:right w:w="200" w:type="dxa"/>
            </w:tcMar>
          </w:tcPr>
          <w:p>
            <w:pPr>
              <w:spacing w:before="40" w:after="40" w:line="276" w:lineRule="auto"/>
              <w:ind w:left="312" w:hanging="312"/>
            </w:pPr>
            <w:r>
              <w:rPr>
                <w:rFonts w:ascii="Calibri" w:hAnsi="Calibri" w:cs="Calibri"/>
                <w:b/>
                <w:i w:val="0"/>
                <w:color w:val="1F3A5F"/>
                <w:sz w:val="21"/>
              </w:rPr>
              <w:t xml:space="preserve">1.  </w:t>
            </w:r>
            <w:r>
              <w:rPr>
                <w:rFonts w:ascii="Calibri" w:hAnsi="Calibri" w:cs="Calibri"/>
                <w:b w:val="0"/>
                <w:i w:val="0"/>
                <w:color w:val="222B36"/>
                <w:sz w:val="21"/>
              </w:rPr>
              <w:t>1 июля вступил в силу пакет изменений: приоритет подключения к электросети только для разгружающих сеть батарей, критической инфраструктуры и базовых нужд (жильё, школы, транспорт); остальные — в лист ожидания. Одновременно введены плата за километр для грузовиков и сбор €3 на посылки дешевле €150 из-за пределов ЕС.</w:t>
            </w:r>
          </w:p>
          <w:p>
            <w:pPr>
              <w:spacing w:before="40" w:after="40" w:line="276" w:lineRule="auto"/>
              <w:ind w:left="312" w:hanging="312"/>
            </w:pPr>
            <w:r>
              <w:rPr>
                <w:rFonts w:ascii="Calibri" w:hAnsi="Calibri" w:cs="Calibri"/>
                <w:b/>
                <w:i w:val="0"/>
                <w:color w:val="1F3A5F"/>
                <w:sz w:val="21"/>
              </w:rPr>
              <w:t xml:space="preserve">2.  </w:t>
            </w:r>
            <w:r>
              <w:rPr>
                <w:rFonts w:ascii="Calibri" w:hAnsi="Calibri" w:cs="Calibri"/>
                <w:b w:val="0"/>
                <w:i w:val="0"/>
                <w:color w:val="222B36"/>
                <w:sz w:val="21"/>
              </w:rPr>
              <w:t>Стройка жилья ускоряется, но ненадолго: по прогнозу ABF Research, в 2027 году будет введено 99 700 домов — вплотную к цели 100 000. После 2027 года темп снизится: число выданных разрешений на строительство падает с 2025 года.</w:t>
            </w:r>
          </w:p>
          <w:p>
            <w:pPr>
              <w:spacing w:before="40" w:after="40" w:line="276" w:lineRule="auto"/>
              <w:ind w:left="312" w:hanging="312"/>
            </w:pPr>
            <w:r>
              <w:rPr>
                <w:rFonts w:ascii="Calibri" w:hAnsi="Calibri" w:cs="Calibri"/>
                <w:b/>
                <w:i w:val="0"/>
                <w:color w:val="1F3A5F"/>
                <w:sz w:val="21"/>
              </w:rPr>
              <w:t xml:space="preserve">3.  </w:t>
            </w:r>
            <w:r>
              <w:rPr>
                <w:rFonts w:ascii="Calibri" w:hAnsi="Calibri" w:cs="Calibri"/>
                <w:b w:val="0"/>
                <w:i w:val="0"/>
                <w:color w:val="222B36"/>
                <w:sz w:val="21"/>
              </w:rPr>
              <w:t>Реформа налога box 3 сдвигается: доработанный закон (новелла) будет представлен только в сентябре, его рассмотрение в Сенате ожидается в январе 2027 года. Период неопределённости для частных арендодателей продлевается.</w:t>
            </w:r>
          </w:p>
        </w:tc>
      </w:tr>
    </w:tbl>
    <w:p>
      <w:pPr>
        <w:spacing w:before="0" w:after="80" w:line="269" w:lineRule="auto"/>
        <w:jc w:val="left"/>
      </w:pPr>
    </w:p>
    <w:p>
      <w:pPr>
        <w:keepNext/>
        <w:spacing w:before="200" w:after="60" w:line="269" w:lineRule="auto"/>
        <w:jc w:val="left"/>
        <w:pBdr>
          <w:bottom w:val="single" w:sz="6" w:space="2" w:color="D7DEE6"/>
        </w:pBdr>
      </w:pPr>
      <w:r>
        <w:rPr>
          <w:rFonts w:ascii="Calibri" w:hAnsi="Calibri" w:cs="Calibri"/>
          <w:b/>
          <w:i w:val="0"/>
          <w:color w:val="1F3A5F"/>
          <w:sz w:val="23"/>
        </w:rPr>
        <w:t>Коротко о неделе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none" w:sz="0"/>
          <w:left w:val="none" w:sz="0"/>
          <w:bottom w:val="none" w:sz="0"/>
          <w:right w:val="none" w:sz="0"/>
          <w:insideH w:val="none" w:sz="0"/>
          <w:insideV w:val="none" w:sz="0"/>
        </w:tblBorders>
        <w:tblW w:type="dxa" w:w="9525"/>
      </w:tblPr>
      <w:tblGrid>
        <w:gridCol w:w="9972"/>
      </w:tblGrid>
      <w:tr>
        <w:trPr>
          <w:cantSplit/>
        </w:trPr>
        <w:tc>
          <w:tcPr>
            <w:tcW w:type="dxa" w:w="9524"/>
            <w:shd w:val="clear" w:color="auto" w:fill="EEF2F6"/>
            <w:tcMar>
              <w:top w:w="110" w:type="dxa"/>
              <w:bottom w:w="110" w:type="dxa"/>
              <w:start w:w="200" w:type="dxa"/>
              <w:end w:w="200" w:type="dxa"/>
              <w:left w:w="200" w:type="dxa"/>
              <w:right w:w="200" w:type="dxa"/>
            </w:tcMar>
          </w:tcPr>
          <w:p>
            <w:pPr>
              <w:spacing w:after="0" w:line="276" w:lineRule="auto"/>
            </w:pPr>
            <w:r>
              <w:rPr>
                <w:rFonts w:ascii="Calibri" w:hAnsi="Calibri" w:cs="Calibri"/>
                <w:b w:val="0"/>
                <w:i w:val="0"/>
                <w:color w:val="222B36"/>
                <w:sz w:val="21"/>
              </w:rPr>
              <w:t>Короткий отчёт за 30 июня — 2 июля. Главное событие — 1 июля: в этот день вступил в силу пакет регуляторных изменений, затрагивающих все сегменты — новый порядок очереди на подключение к электросети, плата за километр для грузовиков, сбор на мелкие посылки из-за пределов ЕС и годовые потолки повышения аренды. По прогнозу ABF Research, ввод жилья в 2027 году впервые приблизится к цели в 100 000 домов (99 700), однако всплеск, вероятно, временный. Реформа налога box 3 сдвигается: доработка закона ожидается лишь к сентябрю, рассмотрение в Сенате — не ранее января 2027 года.</w:t>
            </w:r>
          </w:p>
        </w:tc>
      </w:tr>
    </w:tbl>
    <w:p>
      <w:pPr>
        <w:spacing w:before="0" w:after="120" w:line="269" w:lineRule="auto"/>
        <w:jc w:val="left"/>
      </w:pPr>
    </w:p>
    <w:p>
      <w:pPr>
        <w:keepNext/>
        <w:spacing w:before="280" w:after="80" w:line="269" w:lineRule="auto"/>
        <w:jc w:val="left"/>
        <w:pBdr>
          <w:bottom w:val="single" w:sz="14" w:space="3" w:color="2C5F8A"/>
        </w:pBdr>
      </w:pPr>
      <w:r>
        <w:rPr>
          <w:rFonts w:ascii="Calibri" w:hAnsi="Calibri" w:cs="Calibri"/>
          <w:b/>
          <w:i w:val="0"/>
          <w:color w:val="1F3A5F"/>
          <w:sz w:val="27"/>
        </w:rPr>
        <w:t>Индустриал (склады, промзоны)</w:t>
      </w:r>
    </w:p>
    <w:p>
      <w:pPr>
        <w:spacing w:before="80" w:after="20" w:line="276" w:lineRule="auto"/>
        <w:ind w:left="283" w:hanging="198"/>
        <w:jc w:val="left"/>
      </w:pPr>
      <w:r>
        <w:rPr>
          <w:rFonts w:ascii="Calibri" w:hAnsi="Calibri" w:cs="Calibri"/>
          <w:b w:val="0"/>
          <w:i w:val="0"/>
          <w:color w:val="6B7785"/>
          <w:sz w:val="21"/>
        </w:rPr>
        <w:t xml:space="preserve">—  </w:t>
      </w:r>
      <w:r>
        <w:rPr>
          <w:rFonts w:ascii="Calibri" w:hAnsi="Calibri" w:cs="Calibri"/>
          <w:b w:val="0"/>
          <w:i w:val="0"/>
          <w:color w:val="222B36"/>
          <w:sz w:val="21"/>
        </w:rPr>
        <w:t>С 1 июля действует новый порядок распределения дефицитной мощности электросети (netcongestie) — продолжение темы прошлой недели, теперь в виде работающего регламента. В перегруженных районах приоритет при подключении получают только три группы: решения, разгружающие сеть (крупные аккумуляторы), объекты национальной безопасности (больницы, оборона) и базовые нужды — жильё, школы, общественный транспорт, водоснабжение. Все остальные заявители, включая домохозяйства и малый бизнес в перегруженных зонах, ставятся в лист ожидания.</w:t>
      </w:r>
    </w:p>
    <w:p>
      <w:pPr>
        <w:spacing w:before="20" w:after="20" w:line="269" w:lineRule="auto"/>
        <w:ind w:left="283"/>
        <w:jc w:val="left"/>
      </w:pPr>
      <w:r>
        <w:rPr>
          <w:rFonts w:ascii="Calibri" w:hAnsi="Calibri" w:cs="Calibri"/>
          <w:b/>
          <w:i/>
          <w:color w:val="6B7785"/>
          <w:sz w:val="19"/>
        </w:rPr>
        <w:t xml:space="preserve">Значение. </w:t>
      </w:r>
      <w:r>
        <w:rPr>
          <w:rFonts w:ascii="Calibri" w:hAnsi="Calibri" w:cs="Calibri"/>
          <w:b w:val="0"/>
          <w:i w:val="0"/>
          <w:color w:val="222B36"/>
          <w:sz w:val="19"/>
        </w:rPr>
        <w:t>Правило переводит дефицит мощности из предупреждений в операционную реальность: для складов и производств вне приоритетных групп сроки подключения теперь определяются длиной очереди, а не готовностью объекта. Ценовое преимущество площадок с уже оформленной мощностью, отмеченное в прошлом отчёте, закрепляется нормативно.</w:t>
      </w:r>
    </w:p>
    <w:p>
      <w:pPr>
        <w:spacing w:before="0" w:after="120" w:line="240" w:lineRule="auto"/>
        <w:ind w:left="283"/>
        <w:jc w:val="left"/>
      </w:pPr>
      <w:r>
        <w:rPr>
          <w:rFonts w:ascii="Calibri" w:hAnsi="Calibri" w:cs="Calibri"/>
          <w:b w:val="0"/>
          <w:i/>
          <w:color w:val="6B7785"/>
          <w:sz w:val="17"/>
        </w:rPr>
        <w:t>2026-07-01 · Источник: Rijksoverheid / VNO-NCW</w:t>
      </w:r>
      <w:r>
        <w:rPr>
          <w:rFonts w:ascii="Calibri" w:hAnsi="Calibri" w:cs="Calibri"/>
          <w:b w:val="0"/>
          <w:i w:val="0"/>
          <w:color w:val="6B7785"/>
          <w:sz w:val="17"/>
        </w:rPr>
        <w:t xml:space="preserve">   </w:t>
      </w:r>
      <w:hyperlink r:id="rId11">
        <w:r>
          <w:rPr>
            <w:color w:val="1155CC"/>
            <w:sz w:val="17.0"/>
            <w:rFonts w:ascii="Calibri" w:hAnsi="Calibri"/>
            <w:u w:val="single"/>
          </w:rPr>
          <w:t xml:space="preserve">ссылка ↗</w:t>
        </w:r>
      </w:hyperlink>
    </w:p>
    <w:p>
      <w:pPr>
        <w:spacing w:before="80" w:after="20" w:line="276" w:lineRule="auto"/>
        <w:ind w:left="283" w:hanging="198"/>
        <w:jc w:val="left"/>
      </w:pPr>
      <w:r>
        <w:rPr>
          <w:rFonts w:ascii="Calibri" w:hAnsi="Calibri" w:cs="Calibri"/>
          <w:b w:val="0"/>
          <w:i w:val="0"/>
          <w:color w:val="6B7785"/>
          <w:sz w:val="21"/>
        </w:rPr>
        <w:t xml:space="preserve">—  </w:t>
      </w:r>
      <w:r>
        <w:rPr>
          <w:rFonts w:ascii="Calibri" w:hAnsi="Calibri" w:cs="Calibri"/>
          <w:b w:val="0"/>
          <w:i w:val="0"/>
          <w:color w:val="222B36"/>
          <w:sz w:val="21"/>
        </w:rPr>
        <w:t>Логистическая карта Нидерландов меняется под действием двух новых сборов, введённых 1 июля: платы за километр для грузового транспорта и сбора ЕС в размере €3 на посылки дешевле €150 из-за пределов союза. Второй сбор делает прямые поставки китайских интернет-магазинов менее выгодными и стимулирует их размещать склады и центры обработки заказов внутри Европы, в том числе в Нидерландах. Параллельно продолжается перенос производств ближе к рынкам сбыта (nearshoring): по данным JLL, доля производственных компаний в спросе на индустриальные площади выросла с примерно 5% в 2019 году до почти 14% в 2025-м; наибольший объём пришёлся на Северный Брабант (414 000 м²) и коридор Твенте (220 000 м²).</w:t>
      </w:r>
    </w:p>
    <w:p>
      <w:pPr>
        <w:spacing w:before="20" w:after="20" w:line="269" w:lineRule="auto"/>
        <w:ind w:left="283"/>
        <w:jc w:val="left"/>
      </w:pPr>
      <w:r>
        <w:rPr>
          <w:rFonts w:ascii="Calibri" w:hAnsi="Calibri" w:cs="Calibri"/>
          <w:b/>
          <w:i/>
          <w:color w:val="6B7785"/>
          <w:sz w:val="19"/>
        </w:rPr>
        <w:t xml:space="preserve">Значение. </w:t>
      </w:r>
      <w:r>
        <w:rPr>
          <w:rFonts w:ascii="Calibri" w:hAnsi="Calibri" w:cs="Calibri"/>
          <w:b w:val="0"/>
          <w:i w:val="0"/>
          <w:color w:val="222B36"/>
          <w:sz w:val="19"/>
        </w:rPr>
        <w:t>Транспорт дорожает, а стимул держать запасы и обработку заказов внутри ЕС усиливается — это поддерживает спрос на нидерландские склады и производственные площадки. Вместе с тем JLL отмечает: период спекулятивного строительства завершён, спрос смещается к площадкам с готовой мощностью, разрешениями и транспортной доступностью.</w:t>
      </w:r>
    </w:p>
    <w:p>
      <w:pPr>
        <w:spacing w:before="0" w:after="120" w:line="240" w:lineRule="auto"/>
        <w:ind w:left="283"/>
        <w:jc w:val="left"/>
      </w:pPr>
      <w:r>
        <w:rPr>
          <w:rFonts w:ascii="Calibri" w:hAnsi="Calibri" w:cs="Calibri"/>
          <w:b w:val="0"/>
          <w:i/>
          <w:color w:val="6B7785"/>
          <w:sz w:val="17"/>
        </w:rPr>
        <w:t>2026-07-02 · Источник: JLL Nederland / Vastgoedjournaal</w:t>
      </w:r>
      <w:r>
        <w:rPr>
          <w:rFonts w:ascii="Calibri" w:hAnsi="Calibri" w:cs="Calibri"/>
          <w:b w:val="0"/>
          <w:i w:val="0"/>
          <w:color w:val="6B7785"/>
          <w:sz w:val="17"/>
        </w:rPr>
        <w:t xml:space="preserve">   </w:t>
      </w:r>
      <w:hyperlink r:id="rId12">
        <w:r>
          <w:rPr>
            <w:color w:val="1155CC"/>
            <w:sz w:val="17.0"/>
            <w:rFonts w:ascii="Calibri" w:hAnsi="Calibri"/>
            <w:u w:val="single"/>
          </w:rPr>
          <w:t xml:space="preserve">ссылка ↗</w:t>
        </w:r>
      </w:hyperlink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none" w:sz="0"/>
          <w:left w:val="none" w:sz="0"/>
          <w:bottom w:val="none" w:sz="0"/>
          <w:right w:val="none" w:sz="0"/>
          <w:insideH w:val="none" w:sz="0"/>
          <w:insideV w:val="none" w:sz="0"/>
        </w:tblBorders>
        <w:tblW w:type="dxa" w:w="9525"/>
      </w:tblPr>
      <w:tblGrid>
        <w:gridCol w:w="9972"/>
      </w:tblGrid>
      <w:tr>
        <w:trPr>
          <w:cantSplit/>
        </w:trPr>
        <w:tc>
          <w:tcPr>
            <w:tcW w:type="dxa" w:w="9524"/>
            <w:shd w:val="clear" w:color="auto" w:fill="EAF3EE"/>
            <w:tcMar>
              <w:top w:w="100" w:type="dxa"/>
              <w:bottom w:w="100" w:type="dxa"/>
              <w:start w:w="200" w:type="dxa"/>
              <w:end w:w="200" w:type="dxa"/>
              <w:left w:w="200" w:type="dxa"/>
              <w:right w:w="200" w:type="dxa"/>
            </w:tcMar>
            <w:tcBorders>
              <w:left w:val="single" w:sz="18" w:space="0" w:color="16846F"/>
            </w:tcBorders>
          </w:tcPr>
          <w:p>
            <w:pPr>
              <w:spacing w:after="0" w:line="276" w:lineRule="auto"/>
            </w:pPr>
            <w:r>
              <w:rPr>
                <w:rFonts w:ascii="Calibri" w:hAnsi="Calibri" w:cs="Calibri"/>
                <w:b/>
                <w:i w:val="0"/>
                <w:color w:val="105A4C"/>
                <w:sz w:val="21"/>
              </w:rPr>
              <w:t xml:space="preserve">Вывод. </w:t>
            </w:r>
            <w:r>
              <w:rPr>
                <w:rFonts w:ascii="Calibri" w:hAnsi="Calibri" w:cs="Calibri"/>
                <w:b w:val="0"/>
                <w:i w:val="0"/>
                <w:color w:val="222B36"/>
                <w:sz w:val="21"/>
              </w:rPr>
              <w:t>Регуляторная нагрузка на логистику растёт с двух сторон: дефицит мощности закреплён нормативно, перевозки подорожали. При этом структурный спрос усиливается — сбор на посылки и перенос производств работают в пользу складов внутри ЕС. Преимущество получают объекты с готовым подключением и разрешениями.</w:t>
            </w:r>
          </w:p>
        </w:tc>
      </w:tr>
    </w:tbl>
    <w:p>
      <w:pPr>
        <w:spacing w:before="0" w:after="80" w:line="269" w:lineRule="auto"/>
        <w:jc w:val="left"/>
      </w:pP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none" w:sz="0"/>
          <w:left w:val="none" w:sz="0"/>
          <w:bottom w:val="none" w:sz="0"/>
          <w:right w:val="none" w:sz="0"/>
          <w:insideH w:val="none" w:sz="0"/>
          <w:insideV w:val="none" w:sz="0"/>
        </w:tblBorders>
        <w:tblW w:type="dxa" w:w="9525"/>
      </w:tblPr>
      <w:tblGrid>
        <w:gridCol w:w="9972"/>
      </w:tblGrid>
      <w:tr>
        <w:trPr>
          <w:cantSplit/>
        </w:trPr>
        <w:tc>
          <w:tcPr>
            <w:tcW w:type="dxa" w:w="9524"/>
            <w:shd w:val="clear" w:color="auto" w:fill="FFF6E5"/>
            <w:tcMar>
              <w:top w:w="80" w:type="dxa"/>
              <w:bottom w:w="80" w:type="dxa"/>
              <w:start w:w="200" w:type="dxa"/>
              <w:end w:w="200" w:type="dxa"/>
              <w:left w:w="200" w:type="dxa"/>
              <w:right w:w="200" w:type="dxa"/>
            </w:tcMar>
            <w:tcBorders>
              <w:left w:val="single" w:sz="18" w:space="0" w:color="C0791C"/>
            </w:tcBorders>
          </w:tcPr>
          <w:p>
            <w:pPr>
              <w:spacing w:after="0" w:line="269" w:lineRule="auto"/>
            </w:pPr>
            <w:r>
              <w:rPr>
                <w:rFonts w:ascii="Calibri" w:hAnsi="Calibri" w:cs="Calibri"/>
                <w:b/>
                <w:i w:val="0"/>
                <w:color w:val="8A5510"/>
                <w:sz w:val="20"/>
              </w:rPr>
              <w:t xml:space="preserve">За чем следить. </w:t>
            </w:r>
            <w:r>
              <w:rPr>
                <w:rFonts w:ascii="Calibri" w:hAnsi="Calibri" w:cs="Calibri"/>
                <w:b w:val="0"/>
                <w:i w:val="0"/>
                <w:color w:val="222B36"/>
                <w:sz w:val="20"/>
              </w:rPr>
              <w:t>22 июля — срок решения Prologis по Segro; 30 июля — полугодовой отчёт CTP: ориентир стоимости для сектора складов.</w:t>
            </w:r>
          </w:p>
        </w:tc>
      </w:tr>
    </w:tbl>
    <w:p>
      <w:pPr>
        <w:spacing w:before="0" w:after="120" w:line="269" w:lineRule="auto"/>
        <w:jc w:val="left"/>
      </w:pPr>
    </w:p>
    <w:p>
      <w:pPr>
        <w:keepNext/>
        <w:spacing w:before="280" w:after="80" w:line="269" w:lineRule="auto"/>
        <w:jc w:val="left"/>
        <w:pBdr>
          <w:bottom w:val="single" w:sz="14" w:space="3" w:color="C0791C"/>
        </w:pBdr>
      </w:pPr>
      <w:r>
        <w:rPr>
          <w:rFonts w:ascii="Calibri" w:hAnsi="Calibri" w:cs="Calibri"/>
          <w:b/>
          <w:i w:val="0"/>
          <w:color w:val="1F3A5F"/>
          <w:sz w:val="27"/>
        </w:rPr>
        <w:t>Коммерция (стрит-ритейл, торговые центры)</w:t>
      </w:r>
    </w:p>
    <w:p>
      <w:pPr>
        <w:spacing w:before="0" w:after="80" w:line="269" w:lineRule="auto"/>
        <w:jc w:val="left"/>
      </w:pPr>
      <w:r>
        <w:rPr>
          <w:rFonts w:ascii="Calibri" w:hAnsi="Calibri" w:cs="Calibri"/>
          <w:b w:val="0"/>
          <w:i/>
          <w:color w:val="6B7785"/>
          <w:sz w:val="21"/>
        </w:rPr>
        <w:t>За отчётную неделю значимых событий по этому сегменту не зафиксировано.</w:t>
      </w:r>
    </w:p>
    <w:p>
      <w:pPr>
        <w:keepNext/>
        <w:spacing w:before="280" w:after="80" w:line="269" w:lineRule="auto"/>
        <w:jc w:val="left"/>
        <w:pBdr>
          <w:bottom w:val="single" w:sz="14" w:space="3" w:color="16846F"/>
        </w:pBdr>
      </w:pPr>
      <w:r>
        <w:rPr>
          <w:rFonts w:ascii="Calibri" w:hAnsi="Calibri" w:cs="Calibri"/>
          <w:b/>
          <w:i w:val="0"/>
          <w:color w:val="1F3A5F"/>
          <w:sz w:val="27"/>
        </w:rPr>
        <w:t>Жилая недвижимость</w:t>
      </w:r>
    </w:p>
    <w:p>
      <w:pPr>
        <w:spacing w:before="80" w:after="20" w:line="276" w:lineRule="auto"/>
        <w:ind w:left="283" w:hanging="198"/>
        <w:jc w:val="left"/>
      </w:pPr>
      <w:r>
        <w:rPr>
          <w:rFonts w:ascii="Calibri" w:hAnsi="Calibri" w:cs="Calibri"/>
          <w:b w:val="0"/>
          <w:i w:val="0"/>
          <w:color w:val="6B7785"/>
          <w:sz w:val="21"/>
        </w:rPr>
        <w:t xml:space="preserve">—  </w:t>
      </w:r>
      <w:r>
        <w:rPr>
          <w:rFonts w:ascii="Calibri" w:hAnsi="Calibri" w:cs="Calibri"/>
          <w:b w:val="0"/>
          <w:i w:val="0"/>
          <w:color w:val="222B36"/>
          <w:sz w:val="21"/>
        </w:rPr>
        <w:t>С 1 июля действуют годовые потолки повышения арендной платы. Для социального жилья максимум составляет 4,1% (при аренде ниже €350 в месяц — не более €25 прибавки); для регулируемого среднего сегмента (middenhuur) потолок 6,1%, для свободного сектора — 4,4% (последние два действуют с 1 января). В тот же день вступило в силу большинство норм закона об усилении государственного управления жилищным строительством: две трети нового жилья в планах застройки должны быть доступными, из них 30% — социальная аренда.</w:t>
      </w:r>
    </w:p>
    <w:p>
      <w:pPr>
        <w:spacing w:before="20" w:after="20" w:line="269" w:lineRule="auto"/>
        <w:ind w:left="283"/>
        <w:jc w:val="left"/>
      </w:pPr>
      <w:r>
        <w:rPr>
          <w:rFonts w:ascii="Calibri" w:hAnsi="Calibri" w:cs="Calibri"/>
          <w:b/>
          <w:i/>
          <w:color w:val="6B7785"/>
          <w:sz w:val="19"/>
        </w:rPr>
        <w:t xml:space="preserve">Значение. </w:t>
      </w:r>
      <w:r>
        <w:rPr>
          <w:rFonts w:ascii="Calibri" w:hAnsi="Calibri" w:cs="Calibri"/>
          <w:b w:val="0"/>
          <w:i w:val="0"/>
          <w:color w:val="222B36"/>
          <w:sz w:val="19"/>
        </w:rPr>
        <w:t>Для арендаторов потолки ограничивают ежегодный рост платы; для арендодателей — фиксируют предельную индексацию дохода на год вперёд. Квота доступного жилья в новых проектах смещает экономику застройки к менее маржинальным сегментам и сокращает будущее предложение свободного сектора.</w:t>
      </w:r>
    </w:p>
    <w:p>
      <w:pPr>
        <w:spacing w:before="0" w:after="120" w:line="240" w:lineRule="auto"/>
        <w:ind w:left="283"/>
        <w:jc w:val="left"/>
      </w:pPr>
      <w:r>
        <w:rPr>
          <w:rFonts w:ascii="Calibri" w:hAnsi="Calibri" w:cs="Calibri"/>
          <w:b w:val="0"/>
          <w:i/>
          <w:color w:val="6B7785"/>
          <w:sz w:val="17"/>
        </w:rPr>
        <w:t>2026-07-01 · Источник: Huurcommissie / Rijksoverheid</w:t>
      </w:r>
      <w:r>
        <w:rPr>
          <w:rFonts w:ascii="Calibri" w:hAnsi="Calibri" w:cs="Calibri"/>
          <w:b w:val="0"/>
          <w:i w:val="0"/>
          <w:color w:val="6B7785"/>
          <w:sz w:val="17"/>
        </w:rPr>
        <w:t xml:space="preserve">   </w:t>
      </w:r>
      <w:hyperlink r:id="rId13">
        <w:r>
          <w:rPr>
            <w:color w:val="1155CC"/>
            <w:sz w:val="17.0"/>
            <w:rFonts w:ascii="Calibri" w:hAnsi="Calibri"/>
            <w:u w:val="single"/>
          </w:rPr>
          <w:t xml:space="preserve">ссылка ↗</w:t>
        </w:r>
      </w:hyperlink>
    </w:p>
    <w:p>
      <w:pPr>
        <w:spacing w:before="80" w:after="20" w:line="276" w:lineRule="auto"/>
        <w:ind w:left="283" w:hanging="198"/>
        <w:jc w:val="left"/>
      </w:pPr>
      <w:r>
        <w:rPr>
          <w:rFonts w:ascii="Calibri" w:hAnsi="Calibri" w:cs="Calibri"/>
          <w:b w:val="0"/>
          <w:i w:val="0"/>
          <w:color w:val="6B7785"/>
          <w:sz w:val="21"/>
        </w:rPr>
        <w:t xml:space="preserve">—  </w:t>
      </w:r>
      <w:r>
        <w:rPr>
          <w:rFonts w:ascii="Calibri" w:hAnsi="Calibri" w:cs="Calibri"/>
          <w:b w:val="0"/>
          <w:i w:val="0"/>
          <w:color w:val="222B36"/>
          <w:sz w:val="21"/>
        </w:rPr>
        <w:t>Реформа налога box 3 получила новый график — и он длиннее ожидавшегося. После отложенного 30 июня голосования стало известно: кабинет взвесит варианты доработки в августе, доработанный закон (новелла) будет представлен в сентябре, в день бюджета, а его рассмотрение в Сенате начнётся, по ожиданиям, лишь в январе 2027 года. 7 июля Сенат проголосует только по четырём сопутствующим предложениям, не по самому закону.</w:t>
      </w:r>
    </w:p>
    <w:p>
      <w:pPr>
        <w:spacing w:before="20" w:after="20" w:line="269" w:lineRule="auto"/>
        <w:ind w:left="283"/>
        <w:jc w:val="left"/>
      </w:pPr>
      <w:r>
        <w:rPr>
          <w:rFonts w:ascii="Calibri" w:hAnsi="Calibri" w:cs="Calibri"/>
          <w:b/>
          <w:i/>
          <w:color w:val="6B7785"/>
          <w:sz w:val="19"/>
        </w:rPr>
        <w:t xml:space="preserve">Значение. </w:t>
      </w:r>
      <w:r>
        <w:rPr>
          <w:rFonts w:ascii="Calibri" w:hAnsi="Calibri" w:cs="Calibri"/>
          <w:b w:val="0"/>
          <w:i w:val="0"/>
          <w:color w:val="222B36"/>
          <w:sz w:val="19"/>
        </w:rPr>
        <w:t>Запуск налога с реального дохода с 1 января 2028 года оказывается под давлением графика: на подготовку у налоговой службы остаётся меньше года после возможного принятия. Для частных арендодателей период неопределённости — считать ли будущий налог по условной или по реальной доходности — продлевается как минимум до 2027 года.</w:t>
      </w:r>
    </w:p>
    <w:p>
      <w:pPr>
        <w:spacing w:before="0" w:after="120" w:line="240" w:lineRule="auto"/>
        <w:ind w:left="283"/>
        <w:jc w:val="left"/>
      </w:pPr>
      <w:r>
        <w:rPr>
          <w:rFonts w:ascii="Calibri" w:hAnsi="Calibri" w:cs="Calibri"/>
          <w:b w:val="0"/>
          <w:i/>
          <w:color w:val="6B7785"/>
          <w:sz w:val="17"/>
        </w:rPr>
        <w:t>2026-06-30 · Источник: Eerste Kamer der Staten-Generaal</w:t>
      </w:r>
      <w:r>
        <w:rPr>
          <w:rFonts w:ascii="Calibri" w:hAnsi="Calibri" w:cs="Calibri"/>
          <w:b w:val="0"/>
          <w:i w:val="0"/>
          <w:color w:val="6B7785"/>
          <w:sz w:val="17"/>
        </w:rPr>
        <w:t xml:space="preserve">   </w:t>
      </w:r>
      <w:hyperlink r:id="rId14">
        <w:r>
          <w:rPr>
            <w:color w:val="1155CC"/>
            <w:sz w:val="17.0"/>
            <w:rFonts w:ascii="Calibri" w:hAnsi="Calibri"/>
            <w:u w:val="single"/>
          </w:rPr>
          <w:t xml:space="preserve">ссылка ↗</w:t>
        </w:r>
      </w:hyperlink>
    </w:p>
    <w:p>
      <w:pPr>
        <w:spacing w:before="80" w:after="20" w:line="276" w:lineRule="auto"/>
        <w:ind w:left="283" w:hanging="198"/>
        <w:jc w:val="left"/>
      </w:pPr>
      <w:r>
        <w:rPr>
          <w:rFonts w:ascii="Calibri" w:hAnsi="Calibri" w:cs="Calibri"/>
          <w:b w:val="0"/>
          <w:i w:val="0"/>
          <w:color w:val="6B7785"/>
          <w:sz w:val="21"/>
        </w:rPr>
        <w:t xml:space="preserve">—  </w:t>
      </w:r>
      <w:r>
        <w:rPr>
          <w:rFonts w:ascii="Calibri" w:hAnsi="Calibri" w:cs="Calibri"/>
          <w:b w:val="0"/>
          <w:i w:val="0"/>
          <w:color w:val="222B36"/>
          <w:sz w:val="21"/>
        </w:rPr>
        <w:t>Ввод нового жилья в 2027 году впервые за годы приблизится к государственной цели в 100 000 домов: по опубликованному 1 июля прогнозу ABF Research (модель Primos), в 2027 году будет сдано 99 700 домов против примерно 91 000 в 2026-м. Причина роста — резкое увеличение выданных разрешений на строительство с конца 2023 года: от разрешения до сдачи дома проходит в среднем 27 месяцев. После 2027 года темп, по прогнозу, снизится — число выдаваемых разрешений сокращается с 2025 года, а рост ставок уменьшает инвестиционные возможности застройщиков.</w:t>
      </w:r>
    </w:p>
    <w:p>
      <w:pPr>
        <w:spacing w:before="20" w:after="20" w:line="269" w:lineRule="auto"/>
        <w:ind w:left="283"/>
        <w:jc w:val="left"/>
      </w:pPr>
      <w:r>
        <w:rPr>
          <w:rFonts w:ascii="Calibri" w:hAnsi="Calibri" w:cs="Calibri"/>
          <w:b/>
          <w:i/>
          <w:color w:val="6B7785"/>
          <w:sz w:val="19"/>
        </w:rPr>
        <w:t xml:space="preserve">Значение. </w:t>
      </w:r>
      <w:r>
        <w:rPr>
          <w:rFonts w:ascii="Calibri" w:hAnsi="Calibri" w:cs="Calibri"/>
          <w:b w:val="0"/>
          <w:i w:val="0"/>
          <w:color w:val="222B36"/>
          <w:sz w:val="19"/>
        </w:rPr>
        <w:t>Краткосрочно предложение жилья заметно вырастет — это первый ощутимый результат разблокировки разрешений 2023–2024 годов. Однако прогноз прямо предупреждает: всплеск временный, и без нового притока разрешений дефицит жилья после 2027 года снова начнёт углубляться.</w:t>
      </w:r>
    </w:p>
    <w:p>
      <w:pPr>
        <w:spacing w:before="0" w:after="120" w:line="240" w:lineRule="auto"/>
        <w:ind w:left="283"/>
        <w:jc w:val="left"/>
      </w:pPr>
      <w:r>
        <w:rPr>
          <w:rFonts w:ascii="Calibri" w:hAnsi="Calibri" w:cs="Calibri"/>
          <w:b w:val="0"/>
          <w:i/>
          <w:color w:val="6B7785"/>
          <w:sz w:val="17"/>
        </w:rPr>
        <w:t>2026-07-01 · Источник: Volkshuisvesting Nederland / ABF Research (Primos)</w:t>
      </w:r>
      <w:r>
        <w:rPr>
          <w:rFonts w:ascii="Calibri" w:hAnsi="Calibri" w:cs="Calibri"/>
          <w:b w:val="0"/>
          <w:i w:val="0"/>
          <w:color w:val="6B7785"/>
          <w:sz w:val="17"/>
        </w:rPr>
        <w:t xml:space="preserve">   </w:t>
      </w:r>
      <w:hyperlink r:id="rId15">
        <w:r>
          <w:rPr>
            <w:color w:val="1155CC"/>
            <w:sz w:val="17.0"/>
            <w:rFonts w:ascii="Calibri" w:hAnsi="Calibri"/>
            <w:u w:val="single"/>
          </w:rPr>
          <w:t xml:space="preserve">ссылка ↗</w:t>
        </w:r>
      </w:hyperlink>
    </w:p>
    <w:p>
      <w:pPr>
        <w:spacing w:before="80" w:after="20" w:line="276" w:lineRule="auto"/>
        <w:ind w:left="283" w:hanging="198"/>
        <w:jc w:val="left"/>
      </w:pPr>
      <w:r>
        <w:rPr>
          <w:rFonts w:ascii="Calibri" w:hAnsi="Calibri" w:cs="Calibri"/>
          <w:b w:val="0"/>
          <w:i w:val="0"/>
          <w:color w:val="6B7785"/>
          <w:sz w:val="21"/>
        </w:rPr>
        <w:t xml:space="preserve">—  </w:t>
      </w:r>
      <w:r>
        <w:rPr>
          <w:rFonts w:ascii="Calibri" w:hAnsi="Calibri" w:cs="Calibri"/>
          <w:b w:val="0"/>
          <w:i w:val="0"/>
          <w:color w:val="222B36"/>
          <w:sz w:val="21"/>
        </w:rPr>
        <w:t>ABN AMRO во внеочередном обзоре констатирует охлаждение рынка жилья после сильного начала года: спрос сдерживают выросшие ипотечные ставки и снизившаяся готовность покупателей тратить сбережения на фоне экономической неопределённости. Прогноз банка при этом сохранён: рост цен 3% в 2026 году и 4% в 2027-м, снижение числа сделок на 3% и 4% соответственно. Показательная пара цифр по предложению: за первое полугодие 2026 года выдано на 27,6% больше разрешений на строительство, чем годом ранее, однако фактический ввод жилья в годовом выражении пока на 7,2% ниже.</w:t>
      </w:r>
    </w:p>
    <w:p>
      <w:pPr>
        <w:spacing w:before="20" w:after="20" w:line="269" w:lineRule="auto"/>
        <w:ind w:left="283"/>
        <w:jc w:val="left"/>
      </w:pPr>
      <w:r>
        <w:rPr>
          <w:rFonts w:ascii="Calibri" w:hAnsi="Calibri" w:cs="Calibri"/>
          <w:b/>
          <w:i/>
          <w:color w:val="6B7785"/>
          <w:sz w:val="19"/>
        </w:rPr>
        <w:t xml:space="preserve">Значение. </w:t>
      </w:r>
      <w:r>
        <w:rPr>
          <w:rFonts w:ascii="Calibri" w:hAnsi="Calibri" w:cs="Calibri"/>
          <w:b w:val="0"/>
          <w:i w:val="0"/>
          <w:color w:val="222B36"/>
          <w:sz w:val="19"/>
        </w:rPr>
        <w:t>Оценка банка согласуется с картиной прошлой недели: рынок переходит к умеренному росту без признаков падения. Разрыв между разрешениями и вводом подтверждает прогноз ABF — рост предложения проявится с задержкой, ближе к 2027 году.</w:t>
      </w:r>
    </w:p>
    <w:p>
      <w:pPr>
        <w:spacing w:before="0" w:after="120" w:line="240" w:lineRule="auto"/>
        <w:ind w:left="283"/>
        <w:jc w:val="left"/>
      </w:pPr>
      <w:r>
        <w:rPr>
          <w:rFonts w:ascii="Calibri" w:hAnsi="Calibri" w:cs="Calibri"/>
          <w:b w:val="0"/>
          <w:i/>
          <w:color w:val="6B7785"/>
          <w:sz w:val="17"/>
        </w:rPr>
        <w:t>2026-07-02 · Источник: ABN AMRO / Vastgoedjournaal</w:t>
      </w:r>
      <w:r>
        <w:rPr>
          <w:rFonts w:ascii="Calibri" w:hAnsi="Calibri" w:cs="Calibri"/>
          <w:b w:val="0"/>
          <w:i w:val="0"/>
          <w:color w:val="6B7785"/>
          <w:sz w:val="17"/>
        </w:rPr>
        <w:t xml:space="preserve">   </w:t>
      </w:r>
      <w:hyperlink r:id="rId16">
        <w:r>
          <w:rPr>
            <w:color w:val="1155CC"/>
            <w:sz w:val="17.0"/>
            <w:rFonts w:ascii="Calibri" w:hAnsi="Calibri"/>
            <w:u w:val="single"/>
          </w:rPr>
          <w:t xml:space="preserve">ссылка ↗</w:t>
        </w:r>
      </w:hyperlink>
    </w:p>
    <w:p>
      <w:pPr>
        <w:keepNext/>
        <w:spacing w:before="120" w:after="20"/>
        <w:jc w:val="center"/>
      </w:pPr>
      <w:r>
        <w:drawing>
          <wp:inline xmlns:a="http://schemas.openxmlformats.org/drawingml/2006/main" xmlns:pic="http://schemas.openxmlformats.org/drawingml/2006/picture">
            <wp:extent cx="5903999" cy="315649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housing_completions_forecast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903999" cy="315649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0" w:after="160" w:line="259" w:lineRule="auto"/>
        <w:jc w:val="center"/>
      </w:pPr>
      <w:r>
        <w:rPr>
          <w:rFonts w:ascii="Calibri" w:hAnsi="Calibri" w:cs="Calibri"/>
          <w:b w:val="0"/>
          <w:i/>
          <w:color w:val="6B7785"/>
          <w:sz w:val="18"/>
        </w:rPr>
        <w:t>Прогноз ABF Research (Primos, 01.07.2026); после 2027 года ожидается замедление.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none" w:sz="0"/>
          <w:left w:val="none" w:sz="0"/>
          <w:bottom w:val="none" w:sz="0"/>
          <w:right w:val="none" w:sz="0"/>
          <w:insideH w:val="none" w:sz="0"/>
          <w:insideV w:val="none" w:sz="0"/>
        </w:tblBorders>
        <w:tblW w:type="dxa" w:w="9525"/>
      </w:tblPr>
      <w:tblGrid>
        <w:gridCol w:w="9972"/>
      </w:tblGrid>
      <w:tr>
        <w:trPr>
          <w:cantSplit/>
        </w:trPr>
        <w:tc>
          <w:tcPr>
            <w:tcW w:type="dxa" w:w="9524"/>
            <w:shd w:val="clear" w:color="auto" w:fill="EAF3EE"/>
            <w:tcMar>
              <w:top w:w="100" w:type="dxa"/>
              <w:bottom w:w="100" w:type="dxa"/>
              <w:start w:w="200" w:type="dxa"/>
              <w:end w:w="200" w:type="dxa"/>
              <w:left w:w="200" w:type="dxa"/>
              <w:right w:w="200" w:type="dxa"/>
            </w:tcMar>
            <w:tcBorders>
              <w:left w:val="single" w:sz="18" w:space="0" w:color="16846F"/>
            </w:tcBorders>
          </w:tcPr>
          <w:p>
            <w:pPr>
              <w:spacing w:after="0" w:line="276" w:lineRule="auto"/>
            </w:pPr>
            <w:r>
              <w:rPr>
                <w:rFonts w:ascii="Calibri" w:hAnsi="Calibri" w:cs="Calibri"/>
                <w:b/>
                <w:i w:val="0"/>
                <w:color w:val="105A4C"/>
                <w:sz w:val="21"/>
              </w:rPr>
              <w:t xml:space="preserve">Вывод. </w:t>
            </w:r>
            <w:r>
              <w:rPr>
                <w:rFonts w:ascii="Calibri" w:hAnsi="Calibri" w:cs="Calibri"/>
                <w:b w:val="0"/>
                <w:i w:val="0"/>
                <w:color w:val="222B36"/>
                <w:sz w:val="21"/>
              </w:rPr>
              <w:t>Регулирование задаёт рынку жилья рамку на год вперёд: потолки индексации аренды зафиксированы, квоты доступного жилья действуют, а налоговая реформа box 3 отложена в рассмотрении до 2027 года. Предложение при этом растёт: 2027 год может стать первым годом с вводом около 100 000 домов — но, по обоим свежим прогнозам, эффект временный.</w:t>
            </w:r>
          </w:p>
        </w:tc>
      </w:tr>
    </w:tbl>
    <w:p>
      <w:pPr>
        <w:spacing w:before="0" w:after="80" w:line="269" w:lineRule="auto"/>
        <w:jc w:val="left"/>
      </w:pP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none" w:sz="0"/>
          <w:left w:val="none" w:sz="0"/>
          <w:bottom w:val="none" w:sz="0"/>
          <w:right w:val="none" w:sz="0"/>
          <w:insideH w:val="none" w:sz="0"/>
          <w:insideV w:val="none" w:sz="0"/>
        </w:tblBorders>
        <w:tblW w:type="dxa" w:w="9525"/>
      </w:tblPr>
      <w:tblGrid>
        <w:gridCol w:w="9972"/>
      </w:tblGrid>
      <w:tr>
        <w:trPr>
          <w:cantSplit/>
        </w:trPr>
        <w:tc>
          <w:tcPr>
            <w:tcW w:type="dxa" w:w="9524"/>
            <w:shd w:val="clear" w:color="auto" w:fill="FFF6E5"/>
            <w:tcMar>
              <w:top w:w="80" w:type="dxa"/>
              <w:bottom w:w="80" w:type="dxa"/>
              <w:start w:w="200" w:type="dxa"/>
              <w:end w:w="200" w:type="dxa"/>
              <w:left w:w="200" w:type="dxa"/>
              <w:right w:w="200" w:type="dxa"/>
            </w:tcMar>
            <w:tcBorders>
              <w:left w:val="single" w:sz="18" w:space="0" w:color="C0791C"/>
            </w:tcBorders>
          </w:tcPr>
          <w:p>
            <w:pPr>
              <w:spacing w:after="0" w:line="269" w:lineRule="auto"/>
            </w:pPr>
            <w:r>
              <w:rPr>
                <w:rFonts w:ascii="Calibri" w:hAnsi="Calibri" w:cs="Calibri"/>
                <w:b/>
                <w:i w:val="0"/>
                <w:color w:val="8A5510"/>
                <w:sz w:val="20"/>
              </w:rPr>
              <w:t xml:space="preserve">За чем следить. </w:t>
            </w:r>
            <w:r>
              <w:rPr>
                <w:rFonts w:ascii="Calibri" w:hAnsi="Calibri" w:cs="Calibri"/>
                <w:b w:val="0"/>
                <w:i w:val="0"/>
                <w:color w:val="222B36"/>
                <w:sz w:val="20"/>
              </w:rPr>
              <w:t>7 июля — голосование Сената по четырём предложениям к box 3; сентябрь — публикация новеллы в день бюджета.</w:t>
            </w:r>
          </w:p>
        </w:tc>
      </w:tr>
    </w:tbl>
    <w:p>
      <w:pPr>
        <w:spacing w:before="0" w:after="120" w:line="269" w:lineRule="auto"/>
        <w:jc w:val="left"/>
      </w:pPr>
    </w:p>
    <w:p>
      <w:pPr>
        <w:keepNext/>
        <w:spacing w:before="280" w:after="80" w:line="269" w:lineRule="auto"/>
        <w:jc w:val="left"/>
        <w:pBdr>
          <w:bottom w:val="single" w:sz="14" w:space="3" w:color="1F3A5F"/>
        </w:pBdr>
      </w:pPr>
      <w:r>
        <w:rPr>
          <w:rFonts w:ascii="Calibri" w:hAnsi="Calibri" w:cs="Calibri"/>
          <w:b/>
          <w:i w:val="0"/>
          <w:color w:val="1F3A5F"/>
          <w:sz w:val="27"/>
        </w:rPr>
        <w:t>Картина недели и прогноз</w:t>
      </w:r>
    </w:p>
    <w:p>
      <w:pPr>
        <w:spacing w:before="40" w:after="120" w:line="283" w:lineRule="auto"/>
        <w:jc w:val="left"/>
      </w:pPr>
      <w:r>
        <w:rPr>
          <w:rFonts w:ascii="Calibri" w:hAnsi="Calibri" w:cs="Calibri"/>
          <w:b w:val="0"/>
          <w:i w:val="0"/>
          <w:color w:val="222B36"/>
          <w:sz w:val="21"/>
        </w:rPr>
        <w:t>Три дня на стыке кварталов прошли под знаком вступивших в силу правил: с 1 июля действуют новый порядок очереди на электросеть, плата за километр для грузовиков, сбор на мелкие посылки из-за пределов ЕС и годовые потолки аренды. В торговой недвижимости значимых событий за это окно не зафиксировано — прошли лишь единичные частные сделки. Ближайшие контрольные даты: 7 июля — голосование Сената по предложениям к box 3; 22 июля — срок решения Prologis по Segro; 30 июля — полугодовой отчёт CTP.</w:t>
      </w:r>
    </w:p>
    <w:p>
      <w:pPr>
        <w:keepNext/>
        <w:spacing w:before="280" w:after="80" w:line="269" w:lineRule="auto"/>
        <w:jc w:val="left"/>
        <w:pBdr>
          <w:bottom w:val="single" w:sz="14" w:space="3" w:color="1F3A5F"/>
        </w:pBdr>
      </w:pPr>
      <w:r>
        <w:rPr>
          <w:rFonts w:ascii="Calibri" w:hAnsi="Calibri" w:cs="Calibri"/>
          <w:b/>
          <w:i w:val="0"/>
          <w:color w:val="1F3A5F"/>
          <w:sz w:val="27"/>
        </w:rPr>
        <w:t>Календарь: за чем следить</w:t>
      </w:r>
    </w:p>
    <w:p>
      <w:pPr>
        <w:spacing w:before="60" w:after="0" w:line="269" w:lineRule="auto"/>
        <w:ind w:left="312" w:hanging="312"/>
        <w:jc w:val="left"/>
      </w:pPr>
      <w:r>
        <w:rPr>
          <w:rFonts w:ascii="Calibri" w:hAnsi="Calibri" w:cs="Calibri"/>
          <w:b/>
          <w:i w:val="0"/>
          <w:color w:val="1F3A5F"/>
          <w:sz w:val="20"/>
        </w:rPr>
        <w:t xml:space="preserve">2026-07-07 — </w:t>
      </w:r>
      <w:r>
        <w:rPr>
          <w:rFonts w:ascii="Calibri" w:hAnsi="Calibri" w:cs="Calibri"/>
          <w:b w:val="0"/>
          <w:i w:val="0"/>
          <w:color w:val="222B36"/>
          <w:sz w:val="20"/>
        </w:rPr>
        <w:t>Голосование Сената по четырём предложениям к закону box 3 (сам закон не голосуется)</w:t>
      </w:r>
      <w:r>
        <w:rPr>
          <w:rFonts w:ascii="Calibri" w:hAnsi="Calibri" w:cs="Calibri"/>
          <w:b w:val="0"/>
          <w:i/>
          <w:color w:val="6B7785"/>
          <w:sz w:val="18"/>
        </w:rPr>
        <w:t xml:space="preserve">  (жильё)</w:t>
      </w:r>
    </w:p>
    <w:p>
      <w:pPr>
        <w:spacing w:before="0" w:after="40" w:line="264" w:lineRule="auto"/>
        <w:ind w:left="312"/>
        <w:jc w:val="left"/>
      </w:pPr>
      <w:r>
        <w:rPr>
          <w:rFonts w:ascii="Calibri" w:hAnsi="Calibri" w:cs="Calibri"/>
          <w:b w:val="0"/>
          <w:i/>
          <w:color w:val="6B7785"/>
          <w:sz w:val="18"/>
        </w:rPr>
        <w:t>Покажет настрой палаты перед рассмотрением новеллы; сам закон отложен до 2027 года.</w:t>
      </w:r>
    </w:p>
    <w:p>
      <w:pPr>
        <w:spacing w:before="60" w:after="0" w:line="269" w:lineRule="auto"/>
        <w:ind w:left="312" w:hanging="312"/>
        <w:jc w:val="left"/>
      </w:pPr>
      <w:r>
        <w:rPr>
          <w:rFonts w:ascii="Calibri" w:hAnsi="Calibri" w:cs="Calibri"/>
          <w:b/>
          <w:i w:val="0"/>
          <w:color w:val="1F3A5F"/>
          <w:sz w:val="20"/>
        </w:rPr>
        <w:t xml:space="preserve">2026-07-22 — </w:t>
      </w:r>
      <w:r>
        <w:rPr>
          <w:rFonts w:ascii="Calibri" w:hAnsi="Calibri" w:cs="Calibri"/>
          <w:b w:val="0"/>
          <w:i w:val="0"/>
          <w:color w:val="222B36"/>
          <w:sz w:val="20"/>
        </w:rPr>
        <w:t>Срок решения Prologis по Segro: подтвердить твёрдое предложение или отказаться от сделки</w:t>
      </w:r>
      <w:r>
        <w:rPr>
          <w:rFonts w:ascii="Calibri" w:hAnsi="Calibri" w:cs="Calibri"/>
          <w:b w:val="0"/>
          <w:i/>
          <w:color w:val="6B7785"/>
          <w:sz w:val="18"/>
        </w:rPr>
        <w:t xml:space="preserve">  (индустриал)</w:t>
      </w:r>
    </w:p>
    <w:p>
      <w:pPr>
        <w:spacing w:before="0" w:after="40" w:line="264" w:lineRule="auto"/>
        <w:ind w:left="312"/>
        <w:jc w:val="left"/>
      </w:pPr>
      <w:r>
        <w:rPr>
          <w:rFonts w:ascii="Calibri" w:hAnsi="Calibri" w:cs="Calibri"/>
          <w:b w:val="0"/>
          <w:i/>
          <w:color w:val="6B7785"/>
          <w:sz w:val="18"/>
        </w:rPr>
        <w:t>Подтверждение с повышением цены задаст новый ориентир стоимости складов в Европе.</w:t>
      </w:r>
    </w:p>
    <w:p>
      <w:pPr>
        <w:spacing w:before="60" w:after="0" w:line="269" w:lineRule="auto"/>
        <w:ind w:left="312" w:hanging="312"/>
        <w:jc w:val="left"/>
      </w:pPr>
      <w:r>
        <w:rPr>
          <w:rFonts w:ascii="Calibri" w:hAnsi="Calibri" w:cs="Calibri"/>
          <w:b/>
          <w:i w:val="0"/>
          <w:color w:val="1F3A5F"/>
          <w:sz w:val="20"/>
        </w:rPr>
        <w:t xml:space="preserve">2026-07-30 — </w:t>
      </w:r>
      <w:r>
        <w:rPr>
          <w:rFonts w:ascii="Calibri" w:hAnsi="Calibri" w:cs="Calibri"/>
          <w:b w:val="0"/>
          <w:i w:val="0"/>
          <w:color w:val="222B36"/>
          <w:sz w:val="20"/>
        </w:rPr>
        <w:t>Полугодовой отчёт CTP</w:t>
      </w:r>
      <w:r>
        <w:rPr>
          <w:rFonts w:ascii="Calibri" w:hAnsi="Calibri" w:cs="Calibri"/>
          <w:b w:val="0"/>
          <w:i/>
          <w:color w:val="6B7785"/>
          <w:sz w:val="18"/>
        </w:rPr>
        <w:t xml:space="preserve">  (индустриал)</w:t>
      </w:r>
    </w:p>
    <w:p>
      <w:pPr>
        <w:spacing w:before="0" w:after="40" w:line="264" w:lineRule="auto"/>
        <w:ind w:left="312"/>
        <w:jc w:val="left"/>
      </w:pPr>
      <w:r>
        <w:rPr>
          <w:rFonts w:ascii="Calibri" w:hAnsi="Calibri" w:cs="Calibri"/>
          <w:b w:val="0"/>
          <w:i/>
          <w:color w:val="6B7785"/>
          <w:sz w:val="18"/>
        </w:rPr>
        <w:t>Ориентир стоимости для всего сектора складов.</w:t>
      </w:r>
    </w:p>
    <w:p>
      <w:pPr>
        <w:spacing w:before="60" w:after="0" w:line="269" w:lineRule="auto"/>
        <w:ind w:left="312" w:hanging="312"/>
        <w:jc w:val="left"/>
      </w:pPr>
      <w:r>
        <w:rPr>
          <w:rFonts w:ascii="Calibri" w:hAnsi="Calibri" w:cs="Calibri"/>
          <w:b/>
          <w:i w:val="0"/>
          <w:color w:val="1F3A5F"/>
          <w:sz w:val="20"/>
        </w:rPr>
        <w:t xml:space="preserve">2026-09-15 — </w:t>
      </w:r>
      <w:r>
        <w:rPr>
          <w:rFonts w:ascii="Calibri" w:hAnsi="Calibri" w:cs="Calibri"/>
          <w:b w:val="0"/>
          <w:i w:val="0"/>
          <w:color w:val="222B36"/>
          <w:sz w:val="20"/>
        </w:rPr>
        <w:t>День бюджета (Prinsjesdag): публикация новеллы box 3 и налоговых планов</w:t>
      </w:r>
      <w:r>
        <w:rPr>
          <w:rFonts w:ascii="Calibri" w:hAnsi="Calibri" w:cs="Calibri"/>
          <w:b w:val="0"/>
          <w:i/>
          <w:color w:val="6B7785"/>
          <w:sz w:val="18"/>
        </w:rPr>
        <w:t xml:space="preserve">  (жильё)</w:t>
      </w:r>
    </w:p>
    <w:p>
      <w:pPr>
        <w:spacing w:before="0" w:after="40" w:line="264" w:lineRule="auto"/>
        <w:ind w:left="312"/>
        <w:jc w:val="left"/>
      </w:pPr>
      <w:r>
        <w:rPr>
          <w:rFonts w:ascii="Calibri" w:hAnsi="Calibri" w:cs="Calibri"/>
          <w:b w:val="0"/>
          <w:i/>
          <w:color w:val="6B7785"/>
          <w:sz w:val="18"/>
        </w:rPr>
        <w:t>Станет ясен итоговый вид налога с реального дохода и судьба запуска с 2028 года.</w:t>
      </w:r>
    </w:p>
    <w:p>
      <w:pPr>
        <w:spacing w:before="60" w:after="0" w:line="269" w:lineRule="auto"/>
        <w:ind w:left="312" w:hanging="312"/>
        <w:jc w:val="left"/>
      </w:pPr>
      <w:r>
        <w:rPr>
          <w:rFonts w:ascii="Calibri" w:hAnsi="Calibri" w:cs="Calibri"/>
          <w:b/>
          <w:i w:val="0"/>
          <w:color w:val="1F3A5F"/>
          <w:sz w:val="20"/>
        </w:rPr>
        <w:t xml:space="preserve">2026-10-01 — </w:t>
      </w:r>
      <w:r>
        <w:rPr>
          <w:rFonts w:ascii="Calibri" w:hAnsi="Calibri" w:cs="Calibri"/>
          <w:b w:val="0"/>
          <w:i w:val="0"/>
          <w:color w:val="222B36"/>
          <w:sz w:val="20"/>
        </w:rPr>
        <w:t>Муниципалитеты получают право резервировать сетевую мощность под жильё; азотный законопроект уходит в парламент</w:t>
      </w:r>
      <w:r>
        <w:rPr>
          <w:rFonts w:ascii="Calibri" w:hAnsi="Calibri" w:cs="Calibri"/>
          <w:b w:val="0"/>
          <w:i/>
          <w:color w:val="6B7785"/>
          <w:sz w:val="18"/>
        </w:rPr>
        <w:t xml:space="preserve">  (жильё)</w:t>
      </w:r>
    </w:p>
    <w:p>
      <w:pPr>
        <w:spacing w:before="0" w:after="40" w:line="264" w:lineRule="auto"/>
        <w:ind w:left="312"/>
        <w:jc w:val="left"/>
      </w:pPr>
      <w:r>
        <w:rPr>
          <w:rFonts w:ascii="Calibri" w:hAnsi="Calibri" w:cs="Calibri"/>
          <w:b w:val="0"/>
          <w:i/>
          <w:color w:val="6B7785"/>
          <w:sz w:val="18"/>
        </w:rPr>
        <w:t>Два фактора разблокировки жилищного строительства на горизонте 2027 года.</w:t>
      </w:r>
    </w:p>
    <w:p>
      <w:pPr>
        <w:spacing w:before="0" w:after="120" w:line="269" w:lineRule="auto"/>
        <w:jc w:val="left"/>
      </w:pPr>
    </w:p>
    <w:p>
      <w:pPr>
        <w:keepNext/>
        <w:spacing w:before="280" w:after="80" w:line="269" w:lineRule="auto"/>
        <w:jc w:val="left"/>
        <w:pBdr>
          <w:bottom w:val="single" w:sz="14" w:space="3" w:color="1F3A5F"/>
        </w:pBdr>
      </w:pPr>
      <w:r>
        <w:rPr>
          <w:rFonts w:ascii="Calibri" w:hAnsi="Calibri" w:cs="Calibri"/>
          <w:b/>
          <w:i w:val="0"/>
          <w:color w:val="1F3A5F"/>
          <w:sz w:val="27"/>
        </w:rPr>
        <w:t>Словарь терминов</w:t>
      </w:r>
    </w:p>
    <w:p>
      <w:pPr>
        <w:spacing w:before="40" w:after="40" w:line="269" w:lineRule="auto"/>
        <w:ind w:left="312" w:hanging="312"/>
        <w:jc w:val="left"/>
      </w:pPr>
      <w:r>
        <w:rPr>
          <w:rFonts w:ascii="Calibri" w:hAnsi="Calibri" w:cs="Calibri"/>
          <w:b/>
          <w:i w:val="0"/>
          <w:color w:val="1F3A5F"/>
          <w:sz w:val="19"/>
        </w:rPr>
        <w:t xml:space="preserve">netcongestie (перегрузка сети) — </w:t>
      </w:r>
      <w:r>
        <w:rPr>
          <w:rFonts w:ascii="Calibri" w:hAnsi="Calibri" w:cs="Calibri"/>
          <w:b w:val="0"/>
          <w:i w:val="0"/>
          <w:color w:val="222B36"/>
          <w:sz w:val="19"/>
        </w:rPr>
        <w:t>дефицит свободной мощности электросети: новые подключения в перегруженных районах ставятся в многолетнюю очередь.</w:t>
      </w:r>
    </w:p>
    <w:p>
      <w:pPr>
        <w:spacing w:before="40" w:after="40" w:line="269" w:lineRule="auto"/>
        <w:ind w:left="312" w:hanging="312"/>
        <w:jc w:val="left"/>
      </w:pPr>
      <w:r>
        <w:rPr>
          <w:rFonts w:ascii="Calibri" w:hAnsi="Calibri" w:cs="Calibri"/>
          <w:b/>
          <w:i w:val="0"/>
          <w:color w:val="1F3A5F"/>
          <w:sz w:val="19"/>
        </w:rPr>
        <w:t xml:space="preserve">box 3 — </w:t>
      </w:r>
      <w:r>
        <w:rPr>
          <w:rFonts w:ascii="Calibri" w:hAnsi="Calibri" w:cs="Calibri"/>
          <w:b w:val="0"/>
          <w:i w:val="0"/>
          <w:color w:val="222B36"/>
          <w:sz w:val="19"/>
        </w:rPr>
        <w:t>нидерландский налог на капитал физических лиц (включая недвижимость не для собственного проживания). Обсуждается переход от условной («вменённой») доходности к налогообложению реального дохода; запуск намечен на 2028 год.</w:t>
      </w:r>
    </w:p>
    <w:p>
      <w:pPr>
        <w:spacing w:before="40" w:after="40" w:line="269" w:lineRule="auto"/>
        <w:ind w:left="312" w:hanging="312"/>
        <w:jc w:val="left"/>
      </w:pPr>
      <w:r>
        <w:rPr>
          <w:rFonts w:ascii="Calibri" w:hAnsi="Calibri" w:cs="Calibri"/>
          <w:b/>
          <w:i w:val="0"/>
          <w:color w:val="1F3A5F"/>
          <w:sz w:val="19"/>
        </w:rPr>
        <w:t xml:space="preserve">новелла — </w:t>
      </w:r>
      <w:r>
        <w:rPr>
          <w:rFonts w:ascii="Calibri" w:hAnsi="Calibri" w:cs="Calibri"/>
          <w:b w:val="0"/>
          <w:i w:val="0"/>
          <w:color w:val="222B36"/>
          <w:sz w:val="19"/>
        </w:rPr>
        <w:t>поправочный закон, изменяющий уже принятый палатой, но ещё не вступивший в силу закон, — способ доработать реформу без её полного отзыва.</w:t>
      </w:r>
    </w:p>
    <w:p>
      <w:pPr>
        <w:spacing w:before="40" w:after="40" w:line="269" w:lineRule="auto"/>
        <w:ind w:left="312" w:hanging="312"/>
        <w:jc w:val="left"/>
      </w:pPr>
      <w:r>
        <w:rPr>
          <w:rFonts w:ascii="Calibri" w:hAnsi="Calibri" w:cs="Calibri"/>
          <w:b/>
          <w:i w:val="0"/>
          <w:color w:val="1F3A5F"/>
          <w:sz w:val="19"/>
        </w:rPr>
        <w:t xml:space="preserve">middenhuur — </w:t>
      </w:r>
      <w:r>
        <w:rPr>
          <w:rFonts w:ascii="Calibri" w:hAnsi="Calibri" w:cs="Calibri"/>
          <w:b w:val="0"/>
          <w:i w:val="0"/>
          <w:color w:val="222B36"/>
          <w:sz w:val="19"/>
        </w:rPr>
        <w:t>регулируемый средний сегмент аренды между социальным жильём и свободным рынком; с 2024 года для него действуют собственные потолки цен и индексации.</w:t>
      </w:r>
    </w:p>
    <w:p>
      <w:pPr>
        <w:spacing w:before="40" w:after="40" w:line="269" w:lineRule="auto"/>
        <w:ind w:left="312" w:hanging="312"/>
        <w:jc w:val="left"/>
      </w:pPr>
      <w:r>
        <w:rPr>
          <w:rFonts w:ascii="Calibri" w:hAnsi="Calibri" w:cs="Calibri"/>
          <w:b/>
          <w:i w:val="0"/>
          <w:color w:val="1F3A5F"/>
          <w:sz w:val="19"/>
        </w:rPr>
        <w:t xml:space="preserve">nearshoring — </w:t>
      </w:r>
      <w:r>
        <w:rPr>
          <w:rFonts w:ascii="Calibri" w:hAnsi="Calibri" w:cs="Calibri"/>
          <w:b w:val="0"/>
          <w:i w:val="0"/>
          <w:color w:val="222B36"/>
          <w:sz w:val="19"/>
        </w:rPr>
        <w:t>перенос производства из отдалённых стран ближе к рынку сбыта — в случае Европы из Азии в саму Европу; повышает спрос на производственные и складские площади.</w:t>
      </w:r>
    </w:p>
    <w:p>
      <w:pPr>
        <w:spacing w:before="0" w:after="120" w:line="269" w:lineRule="auto"/>
        <w:jc w:val="left"/>
      </w:pPr>
    </w:p>
    <w:p>
      <w:pPr>
        <w:keepNext/>
        <w:spacing w:before="280" w:after="80" w:line="269" w:lineRule="auto"/>
        <w:jc w:val="left"/>
        <w:pBdr>
          <w:bottom w:val="single" w:sz="14" w:space="3" w:color="5D6D7E"/>
        </w:pBdr>
      </w:pPr>
      <w:r>
        <w:rPr>
          <w:rFonts w:ascii="Calibri" w:hAnsi="Calibri" w:cs="Calibri"/>
          <w:b/>
          <w:i w:val="0"/>
          <w:color w:val="1F3A5F"/>
          <w:sz w:val="27"/>
        </w:rPr>
        <w:t>Источники</w:t>
      </w:r>
    </w:p>
    <w:p>
      <w:pPr>
        <w:spacing w:before="0" w:after="40" w:line="269" w:lineRule="auto"/>
        <w:jc w:val="left"/>
      </w:pPr>
    </w:p>
    <w:p>
      <w:pPr>
        <w:spacing w:before="20" w:after="40" w:line="252" w:lineRule="auto"/>
        <w:ind w:left="283" w:hanging="198"/>
        <w:jc w:val="left"/>
      </w:pPr>
      <w:r>
        <w:rPr>
          <w:rFonts w:ascii="Calibri" w:hAnsi="Calibri" w:cs="Calibri"/>
          <w:b w:val="0"/>
          <w:i w:val="0"/>
          <w:color w:val="6B7785"/>
          <w:sz w:val="19"/>
        </w:rPr>
        <w:t xml:space="preserve">•  </w:t>
      </w:r>
      <w:r>
        <w:rPr>
          <w:rFonts w:ascii="Calibri" w:hAnsi="Calibri" w:cs="Calibri"/>
          <w:b w:val="0"/>
          <w:i w:val="0"/>
          <w:color w:val="222B36"/>
          <w:sz w:val="19"/>
        </w:rPr>
        <w:t xml:space="preserve">Rijksoverheid — правила приоритета подключений (netcongestie)  </w:t>
      </w:r>
      <w:hyperlink r:id="rId11">
        <w:r>
          <w:rPr>
            <w:color w:val="1155CC"/>
            <w:sz w:val="18"/>
            <w:rFonts w:ascii="Calibri" w:hAnsi="Calibri"/>
            <w:u w:val="single"/>
          </w:rPr>
          <w:t xml:space="preserve">https://www.rijksoverheid.nl/themas/klimaat-milieu-en-natuur/duurzame-energie/kabinet-neemt-maatregelen-tegen-vol-elektriciteitsnet-netcongestie</w:t>
        </w:r>
      </w:hyperlink>
    </w:p>
    <w:p>
      <w:pPr>
        <w:spacing w:before="20" w:after="40" w:line="252" w:lineRule="auto"/>
        <w:ind w:left="283" w:hanging="198"/>
        <w:jc w:val="left"/>
      </w:pPr>
      <w:r>
        <w:rPr>
          <w:rFonts w:ascii="Calibri" w:hAnsi="Calibri" w:cs="Calibri"/>
          <w:b w:val="0"/>
          <w:i w:val="0"/>
          <w:color w:val="6B7785"/>
          <w:sz w:val="19"/>
        </w:rPr>
        <w:t xml:space="preserve">•  </w:t>
      </w:r>
      <w:r>
        <w:rPr>
          <w:rFonts w:ascii="Calibri" w:hAnsi="Calibri" w:cs="Calibri"/>
          <w:b w:val="0"/>
          <w:i w:val="0"/>
          <w:color w:val="222B36"/>
          <w:sz w:val="19"/>
        </w:rPr>
        <w:t xml:space="preserve">Huurcommissie — потолки повышения аренды с 1 июля 2026  </w:t>
      </w:r>
      <w:hyperlink r:id="rId13">
        <w:r>
          <w:rPr>
            <w:color w:val="1155CC"/>
            <w:sz w:val="18"/>
            <w:rFonts w:ascii="Calibri" w:hAnsi="Calibri"/>
            <w:u w:val="single"/>
          </w:rPr>
          <w:t xml:space="preserve">https://www.huurcommissie.nl/actueel/nieuws/2026/04/03/huurverhoging-per-1-juli-2026</w:t>
        </w:r>
      </w:hyperlink>
    </w:p>
    <w:p>
      <w:pPr>
        <w:spacing w:before="20" w:after="40" w:line="252" w:lineRule="auto"/>
        <w:ind w:left="283" w:hanging="198"/>
        <w:jc w:val="left"/>
      </w:pPr>
      <w:r>
        <w:rPr>
          <w:rFonts w:ascii="Calibri" w:hAnsi="Calibri" w:cs="Calibri"/>
          <w:b w:val="0"/>
          <w:i w:val="0"/>
          <w:color w:val="6B7785"/>
          <w:sz w:val="19"/>
        </w:rPr>
        <w:t xml:space="preserve">•  </w:t>
      </w:r>
      <w:r>
        <w:rPr>
          <w:rFonts w:ascii="Calibri" w:hAnsi="Calibri" w:cs="Calibri"/>
          <w:b w:val="0"/>
          <w:i w:val="0"/>
          <w:color w:val="222B36"/>
          <w:sz w:val="19"/>
        </w:rPr>
        <w:t xml:space="preserve">Eerste Kamer — Wet werkelijk rendement box 3 (36748)  </w:t>
      </w:r>
      <w:hyperlink r:id="rId14">
        <w:r>
          <w:rPr>
            <w:color w:val="1155CC"/>
            <w:sz w:val="18"/>
            <w:rFonts w:ascii="Calibri" w:hAnsi="Calibri"/>
            <w:u w:val="single"/>
          </w:rPr>
          <w:t xml:space="preserve">https://www.eerstekamer.nl/wetsvoorstel/36748_wet_werkelijk_rendement_box</w:t>
        </w:r>
      </w:hyperlink>
    </w:p>
    <w:p>
      <w:pPr>
        <w:spacing w:before="20" w:after="40" w:line="252" w:lineRule="auto"/>
        <w:ind w:left="283" w:hanging="198"/>
        <w:jc w:val="left"/>
      </w:pPr>
      <w:r>
        <w:rPr>
          <w:rFonts w:ascii="Calibri" w:hAnsi="Calibri" w:cs="Calibri"/>
          <w:b w:val="0"/>
          <w:i w:val="0"/>
          <w:color w:val="6B7785"/>
          <w:sz w:val="19"/>
        </w:rPr>
        <w:t xml:space="preserve">•  </w:t>
      </w:r>
      <w:r>
        <w:rPr>
          <w:rFonts w:ascii="Calibri" w:hAnsi="Calibri" w:cs="Calibri"/>
          <w:b w:val="0"/>
          <w:i w:val="0"/>
          <w:color w:val="222B36"/>
          <w:sz w:val="19"/>
        </w:rPr>
        <w:t xml:space="preserve">Volkshuisvesting Nederland / ABF Research — прогноз Primos (01.07.2026)  </w:t>
      </w:r>
      <w:hyperlink r:id="rId15">
        <w:r>
          <w:rPr>
            <w:color w:val="1155CC"/>
            <w:sz w:val="18"/>
            <w:rFonts w:ascii="Calibri" w:hAnsi="Calibri"/>
            <w:u w:val="single"/>
          </w:rPr>
          <w:t xml:space="preserve">https://www.volkshuisvestingnederland.nl/actueel/nieuws/2026/07/01/prognose-100-000-woningen-binnen-bereik-in-2027</w:t>
        </w:r>
      </w:hyperlink>
    </w:p>
    <w:p>
      <w:pPr>
        <w:spacing w:before="20" w:after="40" w:line="252" w:lineRule="auto"/>
        <w:ind w:left="283" w:hanging="198"/>
        <w:jc w:val="left"/>
      </w:pPr>
      <w:r>
        <w:rPr>
          <w:rFonts w:ascii="Calibri" w:hAnsi="Calibri" w:cs="Calibri"/>
          <w:b w:val="0"/>
          <w:i w:val="0"/>
          <w:color w:val="6B7785"/>
          <w:sz w:val="19"/>
        </w:rPr>
        <w:t xml:space="preserve">•  </w:t>
      </w:r>
      <w:r>
        <w:rPr>
          <w:rFonts w:ascii="Calibri" w:hAnsi="Calibri" w:cs="Calibri"/>
          <w:b w:val="0"/>
          <w:i w:val="0"/>
          <w:color w:val="222B36"/>
          <w:sz w:val="19"/>
        </w:rPr>
        <w:t xml:space="preserve">ABN AMRO — обзор рынка жилья (июль 2026)  </w:t>
      </w:r>
      <w:hyperlink r:id="rId16">
        <w:r>
          <w:rPr>
            <w:color w:val="1155CC"/>
            <w:sz w:val="18"/>
            <w:rFonts w:ascii="Calibri" w:hAnsi="Calibri"/>
            <w:u w:val="single"/>
          </w:rPr>
          <w:t xml:space="preserve">https://www.abnamro.com/nl/nieuws/woningmarkt-koelt-verder-af-door-hogere-hypotheekrente-en-afnemende-vraag</w:t>
        </w:r>
      </w:hyperlink>
    </w:p>
    <w:p>
      <w:pPr>
        <w:spacing w:before="20" w:after="40" w:line="252" w:lineRule="auto"/>
        <w:ind w:left="283" w:hanging="198"/>
        <w:jc w:val="left"/>
      </w:pPr>
      <w:r>
        <w:rPr>
          <w:rFonts w:ascii="Calibri" w:hAnsi="Calibri" w:cs="Calibri"/>
          <w:b w:val="0"/>
          <w:i w:val="0"/>
          <w:color w:val="6B7785"/>
          <w:sz w:val="19"/>
        </w:rPr>
        <w:t xml:space="preserve">•  </w:t>
      </w:r>
      <w:r>
        <w:rPr>
          <w:rFonts w:ascii="Calibri" w:hAnsi="Calibri" w:cs="Calibri"/>
          <w:b w:val="0"/>
          <w:i w:val="0"/>
          <w:color w:val="222B36"/>
          <w:sz w:val="19"/>
        </w:rPr>
        <w:t xml:space="preserve">JLL Nederland — логистическая карта: km-сбор и nearshoring  </w:t>
      </w:r>
      <w:hyperlink r:id="rId12">
        <w:r>
          <w:rPr>
            <w:color w:val="1155CC"/>
            <w:sz w:val="18"/>
            <w:rFonts w:ascii="Calibri" w:hAnsi="Calibri"/>
            <w:u w:val="single"/>
          </w:rPr>
          <w:t xml:space="preserve">https://www.jll.com/nl-nl/newsroom/dieselrecord-en-kilometerheffing-verschuiven-logistieke-kaart-ne</w:t>
        </w:r>
      </w:hyperlink>
    </w:p>
    <w:p>
      <w:pPr>
        <w:spacing w:before="20" w:after="40" w:line="252" w:lineRule="auto"/>
        <w:ind w:left="283" w:hanging="198"/>
        <w:jc w:val="left"/>
      </w:pPr>
      <w:r>
        <w:rPr>
          <w:rFonts w:ascii="Calibri" w:hAnsi="Calibri" w:cs="Calibri"/>
          <w:b w:val="0"/>
          <w:i w:val="0"/>
          <w:color w:val="6B7785"/>
          <w:sz w:val="19"/>
        </w:rPr>
        <w:t xml:space="preserve">•  </w:t>
      </w:r>
      <w:r>
        <w:rPr>
          <w:rFonts w:ascii="Calibri" w:hAnsi="Calibri" w:cs="Calibri"/>
          <w:b w:val="0"/>
          <w:i w:val="0"/>
          <w:color w:val="222B36"/>
          <w:sz w:val="19"/>
        </w:rPr>
        <w:t xml:space="preserve">Vastgoedjournaal — лента новостей 30.06–02.07  </w:t>
      </w:r>
      <w:hyperlink r:id="rId18">
        <w:r>
          <w:rPr>
            <w:color w:val="1155CC"/>
            <w:sz w:val="18"/>
            <w:rFonts w:ascii="Calibri" w:hAnsi="Calibri"/>
            <w:u w:val="single"/>
          </w:rPr>
          <w:t xml:space="preserve">https://vastgoedjournaal.nl/</w:t>
        </w:r>
      </w:hyperlink>
    </w:p>
    <w:p>
      <w:pPr>
        <w:spacing w:before="200" w:after="0" w:line="269" w:lineRule="auto"/>
        <w:jc w:val="left"/>
      </w:pPr>
    </w:p>
    <w:p>
      <w:pPr>
        <w:spacing w:before="120" w:after="0" w:line="269" w:lineRule="auto"/>
        <w:jc w:val="left"/>
        <w:pBdr>
          <w:top w:val="single" w:sz="6" w:space="4" w:color="D7DEE6"/>
        </w:pBdr>
      </w:pPr>
      <w:r>
        <w:rPr>
          <w:rFonts w:ascii="Calibri" w:hAnsi="Calibri" w:cs="Calibri"/>
          <w:b w:val="0"/>
          <w:i/>
          <w:color w:val="6B7785"/>
          <w:sz w:val="16"/>
        </w:rPr>
        <w:t>Дисклеймер: материал носит информационно-аналитический характер, подготовлен на основе открытых источников и не является инвестиционной рекомендацией. Проверяйте данные по первоисточникам перед принятием решений.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020" w:right="1134" w:bottom="1020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Calibri" w:hAnsi="Calibri"/>
        <w:color w:val="6B7785"/>
        <w:sz w:val="16"/>
      </w:rPr>
      <w:t xml:space="preserve">Стр. </w:t>
      <w:fldChar w:fldCharType="begin"/>
      <w:instrText xml:space="preserve">PAGE</w:instrText>
      <w:fldChar w:fldCharType="end"/>
    </w:r>
    <w:r>
      <w:rPr>
        <w:rFonts w:ascii="Calibri" w:hAnsi="Calibri"/>
        <w:color w:val="6B7785"/>
        <w:sz w:val="16"/>
      </w:rPr>
      <w:t xml:space="preserve"> из </w:t>
      <w:fldChar w:fldCharType="begin"/>
      <w:instrText xml:space="preserve">NUMPAGES</w:instrTex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Calibri" w:hAnsi="Calibri" w:cs="Calibri"/>
        <w:b w:val="0"/>
        <w:i w:val="0"/>
        <w:color w:val="6B7785"/>
        <w:sz w:val="16"/>
      </w:rPr>
      <w:t>Недвижимость Нидерландов · 30 июня – 2 июля 2026 г.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 w:cs="Calibri"/>
      <w:color w:val="222B36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hyperlink" Target="https://www.rijksoverheid.nl/themas/klimaat-milieu-en-natuur/duurzame-energie/kabinet-neemt-maatregelen-tegen-vol-elektriciteitsnet-netcongestie" TargetMode="External"/><Relationship Id="rId12" Type="http://schemas.openxmlformats.org/officeDocument/2006/relationships/hyperlink" Target="https://www.jll.com/nl-nl/newsroom/dieselrecord-en-kilometerheffing-verschuiven-logistieke-kaart-ne" TargetMode="External"/><Relationship Id="rId13" Type="http://schemas.openxmlformats.org/officeDocument/2006/relationships/hyperlink" Target="https://www.huurcommissie.nl/actueel/nieuws/2026/04/03/huurverhoging-per-1-juli-2026" TargetMode="External"/><Relationship Id="rId14" Type="http://schemas.openxmlformats.org/officeDocument/2006/relationships/hyperlink" Target="https://www.eerstekamer.nl/wetsvoorstel/36748_wet_werkelijk_rendement_box" TargetMode="External"/><Relationship Id="rId15" Type="http://schemas.openxmlformats.org/officeDocument/2006/relationships/hyperlink" Target="https://www.volkshuisvestingnederland.nl/actueel/nieuws/2026/07/01/prognose-100-000-woningen-binnen-bereik-in-2027" TargetMode="External"/><Relationship Id="rId16" Type="http://schemas.openxmlformats.org/officeDocument/2006/relationships/hyperlink" Target="https://www.abnamro.com/nl/nieuws/woningmarkt-koelt-verder-af-door-hogere-hypotheekrente-en-afnemende-vraag" TargetMode="External"/><Relationship Id="rId17" Type="http://schemas.openxmlformats.org/officeDocument/2006/relationships/image" Target="media/image1.png"/><Relationship Id="rId18" Type="http://schemas.openxmlformats.org/officeDocument/2006/relationships/hyperlink" Target="https://vastgoedjournaal.nl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