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Variant Interpretation Report</w:t>
      </w:r>
    </w:p>
    <w:p>
      <w:pPr>
        <w:pStyle w:val="Heading2"/>
      </w:pPr>
      <w:r>
        <w:t>Report metadata</w:t>
      </w:r>
    </w:p>
    <w:p>
      <w:r>
        <w:t>Report schema: 1.0 Evidence schema: 1.0 Interpretation prompt: 1.1 LLM model: gemini-3.1-flash-lite Assembly: GRCh38</w:t>
      </w:r>
    </w:p>
    <w:p>
      <w:pPr>
        <w:pStyle w:val="Heading2"/>
      </w:pPr>
      <w:r>
        <w:t>Case Summary</w:t>
      </w:r>
    </w:p>
    <w:p>
      <w:pPr>
        <w:pStyle w:val="ListBullet"/>
      </w:pPr>
      <w:r>
        <w:t>Provided HPO terms: HP:0002315</w:t>
      </w:r>
    </w:p>
    <w:p>
      <w:pPr>
        <w:pStyle w:val="ListBullet"/>
      </w:pPr>
      <w:r>
        <w:t>Matched HPO terms: HP:0002315</w:t>
      </w:r>
    </w:p>
    <w:p>
      <w:pPr>
        <w:pStyle w:val="Heading2"/>
      </w:pPr>
      <w:r>
        <w:t>Variant Summary</w:t>
      </w:r>
    </w:p>
    <w:p>
      <w:pPr>
        <w:pStyle w:val="ListBullet"/>
      </w:pPr>
      <w:r>
        <w:t>Assembly: GRCh38</w:t>
      </w:r>
    </w:p>
    <w:p>
      <w:pPr>
        <w:pStyle w:val="ListBullet"/>
      </w:pPr>
      <w:r>
        <w:t>Variant: 3:37048991 G&gt;A</w:t>
      </w:r>
    </w:p>
    <w:p>
      <w:pPr>
        <w:pStyle w:val="ListBullet"/>
      </w:pPr>
      <w:r>
        <w:t>Population frequency: Not available in the supplied evidence.</w:t>
      </w:r>
    </w:p>
    <w:p>
      <w:pPr>
        <w:pStyle w:val="Heading2"/>
      </w:pPr>
      <w:r>
        <w:t>Gene and Consequence</w:t>
      </w:r>
    </w:p>
    <w:p>
      <w:pPr>
        <w:pStyle w:val="ListBullet"/>
      </w:pPr>
      <w:r>
        <w:t>Gene: MLH1</w:t>
      </w:r>
    </w:p>
    <w:p>
      <w:pPr>
        <w:pStyle w:val="ListBullet"/>
      </w:pPr>
      <w:r>
        <w:t>Gene ID: ENSG00000076242</w:t>
      </w:r>
    </w:p>
    <w:p>
      <w:pPr>
        <w:pStyle w:val="ListBullet"/>
      </w:pPr>
      <w:r>
        <w:t>Transcript: ENST00000231790</w:t>
      </w:r>
    </w:p>
    <w:p>
      <w:pPr>
        <w:pStyle w:val="ListBullet"/>
      </w:pPr>
      <w:r>
        <w:t>Consequence: missense_variant</w:t>
      </w:r>
    </w:p>
    <w:p>
      <w:pPr>
        <w:pStyle w:val="ListBullet"/>
      </w:pPr>
      <w:r>
        <w:t>Impact: MODERATE</w:t>
      </w:r>
    </w:p>
    <w:p>
      <w:pPr>
        <w:pStyle w:val="ListBullet"/>
      </w:pPr>
      <w:r>
        <w:t>Protein change: ENSP00000231790.3:p.Glu693Lys</w:t>
      </w:r>
    </w:p>
    <w:p>
      <w:pPr>
        <w:pStyle w:val="Heading2"/>
      </w:pPr>
      <w:r>
        <w:t>Clinical Evidence</w:t>
      </w:r>
    </w:p>
    <w:p>
      <w:pPr>
        <w:pStyle w:val="Heading3"/>
      </w:pPr>
      <w:r>
        <w:t>ClinVar</w:t>
      </w:r>
    </w:p>
    <w:p>
      <w:pPr>
        <w:pStyle w:val="ListBullet"/>
      </w:pPr>
      <w:r>
        <w:t>Accession: Not available in the supplied evidence.</w:t>
      </w:r>
    </w:p>
    <w:p>
      <w:pPr>
        <w:pStyle w:val="ListBullet"/>
      </w:pPr>
      <w:r>
        <w:t>Clinical significance: Not available in the supplied evidence.</w:t>
      </w:r>
    </w:p>
    <w:p>
      <w:pPr>
        <w:pStyle w:val="ListBullet"/>
      </w:pPr>
      <w:r>
        <w:t>Review status: Not available in the supplied evidence.</w:t>
      </w:r>
    </w:p>
    <w:p>
      <w:pPr>
        <w:pStyle w:val="ListBullet"/>
      </w:pPr>
      <w:r>
        <w:t>Conditions: Not available in the supplied evidence.</w:t>
      </w:r>
    </w:p>
    <w:p>
      <w:pPr>
        <w:pStyle w:val="Heading3"/>
      </w:pPr>
      <w:r>
        <w:t>ClinGen</w:t>
      </w:r>
    </w:p>
    <w:p>
      <w:pPr>
        <w:pStyle w:val="ListBullet"/>
      </w:pPr>
      <w:r>
        <w:t>Disease: Lynch syndrome; Disease ID: MONDO:0005835; Classification: Definitive; Mode of inheritance: Autosomal dominant</w:t>
      </w:r>
    </w:p>
    <w:p>
      <w:pPr>
        <w:pStyle w:val="ListBullet"/>
      </w:pPr>
      <w:r>
        <w:t>Disease: mismatch repair cancer syndrome 1; Disease ID: MONDO:0010159; Classification: Definitive; Mode of inheritance: Autosomal recessive</w:t>
      </w:r>
    </w:p>
    <w:p>
      <w:pPr>
        <w:pStyle w:val="ListBullet"/>
      </w:pPr>
      <w:r>
        <w:t>Disease: hereditary breast carcinoma; Disease ID: MONDO:0016419; Classification: Refuted Evidence; Mode of inheritance: Autosomal dominant</w:t>
      </w:r>
    </w:p>
    <w:p>
      <w:pPr>
        <w:pStyle w:val="Heading2"/>
      </w:pPr>
      <w:r>
        <w:t>Phenotype Correlation</w:t>
      </w:r>
    </w:p>
    <w:p>
      <w:pPr>
        <w:pStyle w:val="ListBullet"/>
      </w:pPr>
      <w:r>
        <w:t>Phenotype score: 1</w:t>
      </w:r>
    </w:p>
    <w:p>
      <w:pPr>
        <w:pStyle w:val="ListBullet"/>
      </w:pPr>
      <w:r>
        <w:t>Provided HPO terms: HP:0002315</w:t>
      </w:r>
    </w:p>
    <w:p>
      <w:pPr>
        <w:pStyle w:val="ListBullet"/>
      </w:pPr>
      <w:r>
        <w:t>Matched HPO terms: HP:0002315</w:t>
      </w:r>
    </w:p>
    <w:p>
      <w:pPr>
        <w:pStyle w:val="Heading2"/>
      </w:pPr>
      <w:r>
        <w:t>Interpretation</w:t>
      </w:r>
    </w:p>
    <w:p>
      <w:r>
        <w:t>The provided evidence identifies the *MLH1* gene as having a definitive role in Lynch syndrome and mismatch repair cancer syndrome 1. However, the evidence does not contain a specific functional or clinical classification for the *MLH1* p.Glu693Lys variant itself.</w:t>
      </w:r>
    </w:p>
    <w:p>
      <w:pPr>
        <w:pStyle w:val="Heading2"/>
      </w:pPr>
      <w:r>
        <w:t>Limitations</w:t>
      </w:r>
    </w:p>
    <w:p>
      <w:pPr>
        <w:pStyle w:val="ListBullet"/>
      </w:pPr>
      <w:r>
        <w:t>No specific variant-level classification (e.g., pathogenic/benign) is available in the provided evidence.</w:t>
      </w:r>
    </w:p>
    <w:p>
      <w:pPr>
        <w:pStyle w:val="ListBullet"/>
      </w:pPr>
      <w:r>
        <w:t>NCBI ClinVar did not return an exact result for this variant.</w:t>
      </w:r>
    </w:p>
    <w:p>
      <w:pPr>
        <w:pStyle w:val="ListBullet"/>
      </w:pPr>
      <w:r>
        <w:t>Population frequency data is not available.</w:t>
      </w:r>
    </w:p>
    <w:p>
      <w:pPr>
        <w:pStyle w:val="Heading3"/>
      </w:pPr>
      <w:r>
        <w:t>Evidence source availability</w:t>
      </w:r>
    </w:p>
    <w:p>
      <w:pPr>
        <w:pStyle w:val="ListBullet"/>
      </w:pPr>
      <w:r>
        <w:t>vep: success</w:t>
      </w:r>
    </w:p>
    <w:p>
      <w:pPr>
        <w:pStyle w:val="ListBullet"/>
      </w:pPr>
      <w:r>
        <w:t>myvariant: success</w:t>
      </w:r>
    </w:p>
    <w:p>
      <w:pPr>
        <w:pStyle w:val="ListBullet"/>
      </w:pPr>
      <w:r>
        <w:t>clinvar: not_found</w:t>
      </w:r>
    </w:p>
    <w:p>
      <w:pPr>
        <w:pStyle w:val="ListBullet"/>
      </w:pPr>
      <w:r>
        <w:t>clingen: success</w:t>
      </w:r>
    </w:p>
    <w:p>
      <w:pPr>
        <w:pStyle w:val="Heading3"/>
      </w:pPr>
      <w:r>
        <w:t>Report warnings</w:t>
      </w:r>
    </w:p>
    <w:p>
      <w:pPr>
        <w:pStyle w:val="ListBullet"/>
      </w:pPr>
      <w:r>
        <w:t>NCBI ClinVar returned no exact result for this variant.</w:t>
      </w:r>
    </w:p>
    <w:p>
      <w:pPr>
        <w:pStyle w:val="Heading2"/>
      </w:pPr>
      <w:r>
        <w:t>References</w:t>
      </w:r>
    </w:p>
    <w:p>
      <w:pPr>
        <w:pStyle w:val="ListBullet"/>
      </w:pPr>
      <w:r>
        <w:t>Ensembl VEP - https://rest.ensembl.org/vep/homo_sapiens/region</w:t>
      </w:r>
    </w:p>
    <w:p>
      <w:pPr>
        <w:pStyle w:val="ListBullet"/>
      </w:pPr>
      <w:r>
        <w:t>MyVariant.info - https://myvariant.info/v1/variant/chr3%3Ag.37048991G%3EA?assembly=hg38</w:t>
      </w:r>
    </w:p>
    <w:p>
      <w:pPr>
        <w:pStyle w:val="ListBullet"/>
      </w:pPr>
      <w:r>
        <w:t>ClinGen Gene-Disease Validity via UCSC GenCC - https://search.clinicalgenome.org/kb/gene-validity/CGGV:assertion_24c5d3f4-2bb6-4beb-a781-52bd6962ca41-2022-06-20T17:00:00.000Z</w:t>
      </w:r>
    </w:p>
    <w:p>
      <w:pPr>
        <w:pStyle w:val="ListBullet"/>
      </w:pPr>
      <w:r>
        <w:t>ClinGen Gene-Disease Validity via UCSC GenCC - https://search.clinicalgenome.org/kb/gene-validity/CGGV:assertion_a313ad2e-5c2a-4bb4-bed4-3b4f9b5095df-2018-10-09T15:06:23.105Z</w:t>
      </w:r>
    </w:p>
    <w:p>
      <w:pPr>
        <w:pStyle w:val="ListBullet"/>
      </w:pPr>
      <w:r>
        <w:t>ClinGen Gene-Disease Validity via UCSC GenCC - https://search.clinicalgenome.org/kb/gene-validity/CGGV:assertion_c27a22e4-fc45-4888-8b1d-625bc649697c-2023-12-21T18:00:00.000Z</w:t>
      </w:r>
    </w:p>
    <w:p>
      <w:pPr>
        <w:pStyle w:val="ListBullet"/>
      </w:pPr>
      <w:r>
        <w:t>ClinGen - MONDO:0005835 - https://search.clinicalgenome.org/kb/gene-validity/CGGV:assertion_24c5d3f4-2bb6-4beb-a781-52bd6962ca41-2022-06-20T17:00:00.000Z</w:t>
      </w:r>
    </w:p>
    <w:p>
      <w:pPr>
        <w:pStyle w:val="ListBullet"/>
      </w:pPr>
      <w:r>
        <w:t>PubMed - PMID:8673133</w:t>
      </w:r>
    </w:p>
    <w:p>
      <w:pPr>
        <w:pStyle w:val="ListBullet"/>
      </w:pPr>
      <w:r>
        <w:t>PubMed - PMID:10096563</w:t>
      </w:r>
    </w:p>
    <w:p>
      <w:pPr>
        <w:pStyle w:val="ListBullet"/>
      </w:pPr>
      <w:r>
        <w:t>PubMed - PMID:18566915</w:t>
      </w:r>
    </w:p>
    <w:p>
      <w:pPr>
        <w:pStyle w:val="ListBullet"/>
      </w:pPr>
      <w:r>
        <w:t>PubMed - PMID:24802709</w:t>
      </w:r>
    </w:p>
    <w:p>
      <w:pPr>
        <w:pStyle w:val="ListBullet"/>
      </w:pPr>
      <w:r>
        <w:t>PubMed - PMID:33335961</w:t>
      </w:r>
    </w:p>
    <w:p>
      <w:pPr>
        <w:pStyle w:val="ListBullet"/>
      </w:pPr>
      <w:r>
        <w:t>ClinGen - MONDO:0010159 - https://search.clinicalgenome.org/kb/gene-validity/CGGV:assertion_a313ad2e-5c2a-4bb4-bed4-3b4f9b5095df-2018-10-09T15:06:23.105Z</w:t>
      </w:r>
    </w:p>
    <w:p>
      <w:pPr>
        <w:pStyle w:val="ListBullet"/>
      </w:pPr>
      <w:r>
        <w:t>PubMed - PMID:9500552</w:t>
      </w:r>
    </w:p>
    <w:p>
      <w:pPr>
        <w:pStyle w:val="ListBullet"/>
      </w:pPr>
      <w:r>
        <w:t>PubMed - PMID:9927033</w:t>
      </w:r>
    </w:p>
    <w:p>
      <w:pPr>
        <w:pStyle w:val="ListBullet"/>
      </w:pPr>
      <w:r>
        <w:t>PubMed - PMID:9927034</w:t>
      </w:r>
    </w:p>
    <w:p>
      <w:pPr>
        <w:pStyle w:val="ListBullet"/>
      </w:pPr>
      <w:r>
        <w:t>PubMed - PMID:10763829</w:t>
      </w:r>
    </w:p>
    <w:p>
      <w:pPr>
        <w:pStyle w:val="ListBullet"/>
      </w:pPr>
      <w:r>
        <w:t>PubMed - PMID:11389087</w:t>
      </w:r>
    </w:p>
    <w:p>
      <w:pPr>
        <w:pStyle w:val="ListBullet"/>
      </w:pPr>
      <w:r>
        <w:t>PubMed - PMID:11809679</w:t>
      </w:r>
    </w:p>
    <w:p>
      <w:pPr>
        <w:pStyle w:val="ListBullet"/>
      </w:pPr>
      <w:r>
        <w:t>PubMed - PMID:14762794</w:t>
      </w:r>
    </w:p>
    <w:p>
      <w:pPr>
        <w:pStyle w:val="ListBullet"/>
      </w:pPr>
      <w:r>
        <w:t>PubMed - PMID:15139004</w:t>
      </w:r>
    </w:p>
    <w:p>
      <w:pPr>
        <w:pStyle w:val="ListBullet"/>
      </w:pPr>
      <w:r>
        <w:t>PubMed - PMID:15340263</w:t>
      </w:r>
    </w:p>
    <w:p>
      <w:pPr>
        <w:pStyle w:val="ListBullet"/>
      </w:pPr>
      <w:r>
        <w:t>PubMed - PMID:17440981</w:t>
      </w:r>
    </w:p>
    <w:p>
      <w:pPr>
        <w:pStyle w:val="ListBullet"/>
      </w:pPr>
      <w:r>
        <w:t>PubMed - PMID:18593904</w:t>
      </w:r>
    </w:p>
    <w:p>
      <w:pPr>
        <w:pStyle w:val="ListBullet"/>
      </w:pPr>
      <w:r>
        <w:t>PubMed - PMID:22692065</w:t>
      </w:r>
    </w:p>
    <w:p>
      <w:pPr>
        <w:pStyle w:val="ListBullet"/>
      </w:pPr>
      <w:r>
        <w:t>ClinGen - MONDO:0016419 - https://search.clinicalgenome.org/kb/gene-validity/CGGV:assertion_c27a22e4-fc45-4888-8b1d-625bc649697c-2023-12-21T18:00:00.000Z</w:t>
      </w:r>
    </w:p>
    <w:p>
      <w:pPr>
        <w:pStyle w:val="ListBullet"/>
      </w:pPr>
      <w:r>
        <w:t>PubMed - PMID:28418444</w:t>
      </w:r>
    </w:p>
    <w:p>
      <w:pPr>
        <w:pStyle w:val="ListBullet"/>
      </w:pPr>
      <w:r>
        <w:t>PubMed - PMID:33471991</w:t>
      </w:r>
    </w:p>
    <w:p>
      <w:pPr>
        <w:pStyle w:val="ListBullet"/>
      </w:pPr>
      <w:r>
        <w:t>PubMed - PMID:35172496</w:t>
      </w:r>
    </w:p>
    <w:p>
      <w:pPr>
        <w:pStyle w:val="Heading2"/>
      </w:pPr>
      <w:r>
        <w:t>Medical Disclaimer</w:t>
      </w:r>
    </w:p>
    <w:p>
      <w:pPr>
        <w:spacing w:before="100" w:after="160"/>
        <w:ind w:left="216" w:right="216"/>
        <w:shd w:fill="EAF2F8"/>
      </w:pPr>
      <w:r>
        <w:t>AI-generated decision-support summary based only on the supplied Evidence Object. It is not a diagnosis or treatment recommendation and requires review by a qualified healthcare professional.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6"/>
      </w:rPr>
      <w:t xml:space="preserve">Page </w:t>
    </w:r>
    <w:r>
      <w:rPr>
        <w:rFonts w:ascii="Calibri" w:hAnsi="Calibri"/>
        <w:color w:val="5B67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6"/>
      </w:rPr>
      <w:t>CLINICAL VARIANT INTERPRETATION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F32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Variant Interpretation Report</dc:title>
  <dc:subject>Evidence-bound clinical variant interpretation report</dc:subject>
  <dc:creator>Clinical Variant Interpretation Project</dc:creator>
  <cp:keywords>clinical variant, evidence report, decision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