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Variant Interpretation Report</w:t>
      </w:r>
    </w:p>
    <w:p>
      <w:pPr>
        <w:pStyle w:val="Heading2"/>
      </w:pPr>
      <w:r>
        <w:t>Report metadata</w:t>
      </w:r>
    </w:p>
    <w:p>
      <w:r>
        <w:t>Report schema: 1.0 Evidence schema: 1.0 Interpretation prompt: 1.1 LLM model: gpt-5.4-mini Assembly: GRCh38</w:t>
      </w:r>
    </w:p>
    <w:p>
      <w:pPr>
        <w:pStyle w:val="Heading2"/>
      </w:pPr>
      <w:r>
        <w:t>Case Summary</w:t>
      </w:r>
    </w:p>
    <w:p>
      <w:pPr>
        <w:pStyle w:val="ListBullet"/>
      </w:pPr>
      <w:r>
        <w:t>Provided HPO terms: HP:0034270</w:t>
      </w:r>
    </w:p>
    <w:p>
      <w:pPr>
        <w:pStyle w:val="ListBullet"/>
      </w:pPr>
      <w:r>
        <w:t>Matched HPO terms: Not available in the supplied evidence.</w:t>
      </w:r>
    </w:p>
    <w:p>
      <w:pPr>
        <w:pStyle w:val="Heading2"/>
      </w:pPr>
      <w:r>
        <w:t>Variant Summary</w:t>
      </w:r>
    </w:p>
    <w:p>
      <w:pPr>
        <w:pStyle w:val="ListBullet"/>
      </w:pPr>
      <w:r>
        <w:t>Assembly: GRCh38</w:t>
      </w:r>
    </w:p>
    <w:p>
      <w:pPr>
        <w:pStyle w:val="ListBullet"/>
      </w:pPr>
      <w:r>
        <w:t>Variant: MT:14560 G&gt;C</w:t>
      </w:r>
    </w:p>
    <w:p>
      <w:pPr>
        <w:pStyle w:val="ListBullet"/>
      </w:pPr>
      <w:r>
        <w:t>Population frequency: Not available in the supplied evidence.</w:t>
      </w:r>
    </w:p>
    <w:p>
      <w:pPr>
        <w:pStyle w:val="Heading2"/>
      </w:pPr>
      <w:r>
        <w:t>Gene and Consequence</w:t>
      </w:r>
    </w:p>
    <w:p>
      <w:pPr>
        <w:pStyle w:val="ListBullet"/>
      </w:pPr>
      <w:r>
        <w:t>Gene: MT-ND6</w:t>
      </w:r>
    </w:p>
    <w:p>
      <w:pPr>
        <w:pStyle w:val="ListBullet"/>
      </w:pPr>
      <w:r>
        <w:t>Gene ID: ENSG00000198695</w:t>
      </w:r>
    </w:p>
    <w:p>
      <w:pPr>
        <w:pStyle w:val="ListBullet"/>
      </w:pPr>
      <w:r>
        <w:t>Transcript: ENST00000361681</w:t>
      </w:r>
    </w:p>
    <w:p>
      <w:pPr>
        <w:pStyle w:val="ListBullet"/>
      </w:pPr>
      <w:r>
        <w:t>Consequence: synonymous_variant</w:t>
      </w:r>
    </w:p>
    <w:p>
      <w:pPr>
        <w:pStyle w:val="ListBullet"/>
      </w:pPr>
      <w:r>
        <w:t>Impact: LOW</w:t>
      </w:r>
    </w:p>
    <w:p>
      <w:pPr>
        <w:pStyle w:val="ListBullet"/>
      </w:pPr>
      <w:r>
        <w:t>Protein change: ENSP00000354665.2:p.Val38=</w:t>
      </w:r>
    </w:p>
    <w:p>
      <w:pPr>
        <w:pStyle w:val="Heading2"/>
      </w:pPr>
      <w:r>
        <w:t>Clinical Evidence</w:t>
      </w:r>
    </w:p>
    <w:p>
      <w:pPr>
        <w:pStyle w:val="Heading3"/>
      </w:pPr>
      <w:r>
        <w:t>ClinVar</w:t>
      </w:r>
    </w:p>
    <w:p>
      <w:pPr>
        <w:pStyle w:val="ListBullet"/>
      </w:pPr>
      <w:r>
        <w:t>Accession: Not available in the supplied evidence.</w:t>
      </w:r>
    </w:p>
    <w:p>
      <w:pPr>
        <w:pStyle w:val="ListBullet"/>
      </w:pPr>
      <w:r>
        <w:t>Clinical significance: Not available in the supplied evidence.</w:t>
      </w:r>
    </w:p>
    <w:p>
      <w:pPr>
        <w:pStyle w:val="ListBullet"/>
      </w:pPr>
      <w:r>
        <w:t>Review status: Not available in the supplied evidence.</w:t>
      </w:r>
    </w:p>
    <w:p>
      <w:pPr>
        <w:pStyle w:val="ListBullet"/>
      </w:pPr>
      <w:r>
        <w:t>Conditions: Not available in the supplied evidence.</w:t>
      </w:r>
    </w:p>
    <w:p>
      <w:pPr>
        <w:pStyle w:val="Heading3"/>
      </w:pPr>
      <w:r>
        <w:t>ClinGen</w:t>
      </w:r>
    </w:p>
    <w:p>
      <w:pPr>
        <w:pStyle w:val="ListBullet"/>
      </w:pPr>
      <w:r>
        <w:t>Disease: Leigh syndrome; Disease ID: MONDO:0009723; Classification: Definitive; Mode of inheritance: Mitochondrial</w:t>
      </w:r>
    </w:p>
    <w:p>
      <w:pPr>
        <w:pStyle w:val="ListBullet"/>
      </w:pPr>
      <w:r>
        <w:t>Disease: mitochondrial disease; Disease ID: MONDO:0044970; Classification: Definitive; Mode of inheritance: Mitochondrial</w:t>
      </w:r>
    </w:p>
    <w:p>
      <w:pPr>
        <w:pStyle w:val="Heading2"/>
      </w:pPr>
      <w:r>
        <w:t>Phenotype Correlation</w:t>
      </w:r>
    </w:p>
    <w:p>
      <w:pPr>
        <w:pStyle w:val="ListBullet"/>
      </w:pPr>
      <w:r>
        <w:t>Phenotype score: 0</w:t>
      </w:r>
    </w:p>
    <w:p>
      <w:pPr>
        <w:pStyle w:val="ListBullet"/>
      </w:pPr>
      <w:r>
        <w:t>Provided HPO terms: HP:0034270</w:t>
      </w:r>
    </w:p>
    <w:p>
      <w:pPr>
        <w:pStyle w:val="ListBullet"/>
      </w:pPr>
      <w:r>
        <w:t>Matched HPO terms: Not available in the supplied evidence.</w:t>
      </w:r>
    </w:p>
    <w:p>
      <w:pPr>
        <w:pStyle w:val="Heading2"/>
      </w:pPr>
      <w:r>
        <w:t>Interpretation</w:t>
      </w:r>
    </w:p>
    <w:p>
      <w:pPr>
        <w:pStyle w:val="ListBullet"/>
      </w:pPr>
      <w:r>
        <w:t>The evidence object provides gene-disease validity evidence for MT-ND6, but it does not provide a variant-specific clinical classification for this MT-ND6 synonymous variant.</w:t>
      </w:r>
    </w:p>
    <w:p>
      <w:pPr>
        <w:pStyle w:val="ListBullet"/>
      </w:pPr>
      <w:r>
        <w:t>ClinVar and MyVariant.info returned no exact result for this variant.</w:t>
      </w:r>
    </w:p>
    <w:p>
      <w:pPr>
        <w:pStyle w:val="ListBullet"/>
      </w:pPr>
      <w:r>
        <w:t>Based on the supplied evidence alone, a definitive variant interpretation is unsupported.</w:t>
      </w:r>
    </w:p>
    <w:p>
      <w:pPr>
        <w:pStyle w:val="Heading2"/>
      </w:pPr>
      <w:r>
        <w:t>Limitations</w:t>
      </w:r>
    </w:p>
    <w:p>
      <w:pPr>
        <w:pStyle w:val="ListBullet"/>
      </w:pPr>
      <w:r>
        <w:t>Variant-specific pathogenicity evidence is not provided.</w:t>
      </w:r>
    </w:p>
    <w:p>
      <w:pPr>
        <w:pStyle w:val="ListBullet"/>
      </w:pPr>
      <w:r>
        <w:t>No ClinVar accession, review status, or significance is available.</w:t>
      </w:r>
    </w:p>
    <w:p>
      <w:pPr>
        <w:pStyle w:val="ListBullet"/>
      </w:pPr>
      <w:r>
        <w:t>No population frequency is available.</w:t>
      </w:r>
    </w:p>
    <w:p>
      <w:pPr>
        <w:pStyle w:val="ListBullet"/>
      </w:pPr>
      <w:r>
        <w:t>The meaning of HP:0034270 is not expanded in the supplied evidence.</w:t>
      </w:r>
    </w:p>
    <w:p>
      <w:pPr>
        <w:pStyle w:val="ListBullet"/>
      </w:pPr>
      <w:r>
        <w:t>Warnings note that MyVariant.info and NCBI ClinVar returned no exact result for this variant.</w:t>
      </w:r>
    </w:p>
    <w:p>
      <w:pPr>
        <w:pStyle w:val="Heading3"/>
      </w:pPr>
      <w:r>
        <w:t>Evidence source availability</w:t>
      </w:r>
    </w:p>
    <w:p>
      <w:pPr>
        <w:pStyle w:val="ListBullet"/>
      </w:pPr>
      <w:r>
        <w:t>vep: success</w:t>
      </w:r>
    </w:p>
    <w:p>
      <w:pPr>
        <w:pStyle w:val="ListBullet"/>
      </w:pPr>
      <w:r>
        <w:t>myvariant: not_found</w:t>
      </w:r>
    </w:p>
    <w:p>
      <w:pPr>
        <w:pStyle w:val="ListBullet"/>
      </w:pPr>
      <w:r>
        <w:t>clinvar: not_found</w:t>
      </w:r>
    </w:p>
    <w:p>
      <w:pPr>
        <w:pStyle w:val="ListBullet"/>
      </w:pPr>
      <w:r>
        <w:t>clingen: success</w:t>
      </w:r>
    </w:p>
    <w:p>
      <w:pPr>
        <w:pStyle w:val="Heading3"/>
      </w:pPr>
      <w:r>
        <w:t>Report warnings</w:t>
      </w:r>
    </w:p>
    <w:p>
      <w:pPr>
        <w:pStyle w:val="ListBullet"/>
      </w:pPr>
      <w:r>
        <w:t>MyVariant.info returned no exact result for this variant.</w:t>
      </w:r>
    </w:p>
    <w:p>
      <w:pPr>
        <w:pStyle w:val="ListBullet"/>
      </w:pPr>
      <w:r>
        <w:t>NCBI ClinVar returned no exact result for this variant.</w:t>
      </w:r>
    </w:p>
    <w:p>
      <w:pPr>
        <w:pStyle w:val="Heading2"/>
      </w:pPr>
      <w:r>
        <w:t>References</w:t>
      </w:r>
    </w:p>
    <w:p>
      <w:pPr>
        <w:pStyle w:val="ListBullet"/>
      </w:pPr>
      <w:r>
        <w:t>Ensembl VEP - https://rest.ensembl.org/vep/homo_sapiens/region</w:t>
      </w:r>
    </w:p>
    <w:p>
      <w:pPr>
        <w:pStyle w:val="ListBullet"/>
      </w:pPr>
      <w:r>
        <w:t>ClinGen Gene-Disease Validity via UCSC GenCC - https://search.clinicalgenome.org/kb/gene-validity/CGGV:assertion_836f975f-27f5-47c9-a58e-35089b6b39e6-2021-05-17T04:00:00.000Z</w:t>
      </w:r>
    </w:p>
    <w:p>
      <w:pPr>
        <w:pStyle w:val="ListBullet"/>
      </w:pPr>
      <w:r>
        <w:t>ClinGen Gene-Disease Validity via UCSC GenCC - https://search.clinicalgenome.org/kb/gene-validity/CGGV:assertion_7f581c96-e3cc-49bb-aa2b-98650efa4157-2023-05-03T16:00:00.000Z</w:t>
      </w:r>
    </w:p>
    <w:p>
      <w:pPr>
        <w:pStyle w:val="ListBullet"/>
      </w:pPr>
      <w:r>
        <w:t>ClinGen - MONDO:0009723 - https://search.clinicalgenome.org/kb/gene-validity/CGGV:assertion_836f975f-27f5-47c9-a58e-35089b6b39e6-2021-05-17T04:00:00.000Z</w:t>
      </w:r>
    </w:p>
    <w:p>
      <w:pPr>
        <w:pStyle w:val="ListBullet"/>
      </w:pPr>
      <w:r>
        <w:t>PubMed - PMID:8622678</w:t>
      </w:r>
    </w:p>
    <w:p>
      <w:pPr>
        <w:pStyle w:val="ListBullet"/>
      </w:pPr>
      <w:r>
        <w:t>PubMed - PMID:10894222</w:t>
      </w:r>
    </w:p>
    <w:p>
      <w:pPr>
        <w:pStyle w:val="ListBullet"/>
      </w:pPr>
      <w:r>
        <w:t>PubMed - PMID:14595656</w:t>
      </w:r>
    </w:p>
    <w:p>
      <w:pPr>
        <w:pStyle w:val="ListBullet"/>
      </w:pPr>
      <w:r>
        <w:t>PubMed - PMID:14684687</w:t>
      </w:r>
    </w:p>
    <w:p>
      <w:pPr>
        <w:pStyle w:val="ListBullet"/>
      </w:pPr>
      <w:r>
        <w:t>PubMed - PMID:15576045</w:t>
      </w:r>
    </w:p>
    <w:p>
      <w:pPr>
        <w:pStyle w:val="ListBullet"/>
      </w:pPr>
      <w:r>
        <w:t>PubMed - PMID:17535832</w:t>
      </w:r>
    </w:p>
    <w:p>
      <w:pPr>
        <w:pStyle w:val="ListBullet"/>
      </w:pPr>
      <w:r>
        <w:t>PubMed - PMID:19062322</w:t>
      </w:r>
    </w:p>
    <w:p>
      <w:pPr>
        <w:pStyle w:val="ListBullet"/>
      </w:pPr>
      <w:r>
        <w:t>PubMed - PMID:19103152</w:t>
      </w:r>
    </w:p>
    <w:p>
      <w:pPr>
        <w:pStyle w:val="ListBullet"/>
      </w:pPr>
      <w:r>
        <w:t>PubMed - PMID:20019223</w:t>
      </w:r>
    </w:p>
    <w:p>
      <w:pPr>
        <w:pStyle w:val="ListBullet"/>
      </w:pPr>
      <w:r>
        <w:t>PubMed - PMID:21196529</w:t>
      </w:r>
    </w:p>
    <w:p>
      <w:pPr>
        <w:pStyle w:val="ListBullet"/>
      </w:pPr>
      <w:r>
        <w:t>PubMed - PMID:21749722</w:t>
      </w:r>
    </w:p>
    <w:p>
      <w:pPr>
        <w:pStyle w:val="ListBullet"/>
      </w:pPr>
      <w:r>
        <w:t>PubMed - PMID:23129651</w:t>
      </w:r>
    </w:p>
    <w:p>
      <w:pPr>
        <w:pStyle w:val="ListBullet"/>
      </w:pPr>
      <w:r>
        <w:t>PubMed - PMID:23813926</w:t>
      </w:r>
    </w:p>
    <w:p>
      <w:pPr>
        <w:pStyle w:val="ListBullet"/>
      </w:pPr>
      <w:r>
        <w:t>PubMed - PMID:25356405</w:t>
      </w:r>
    </w:p>
    <w:p>
      <w:pPr>
        <w:pStyle w:val="ListBullet"/>
      </w:pPr>
      <w:r>
        <w:t>PubMed - PMID:27509854</w:t>
      </w:r>
    </w:p>
    <w:p>
      <w:pPr>
        <w:pStyle w:val="ListBullet"/>
      </w:pPr>
      <w:r>
        <w:t>PubMed - PMID:33536343</w:t>
      </w:r>
    </w:p>
    <w:p>
      <w:pPr>
        <w:pStyle w:val="ListBullet"/>
      </w:pPr>
      <w:r>
        <w:t>ClinGen - MONDO:0044970 - https://search.clinicalgenome.org/kb/gene-validity/CGGV:assertion_7f581c96-e3cc-49bb-aa2b-98650efa4157-2023-05-03T16:00:00.000Z</w:t>
      </w:r>
    </w:p>
    <w:p>
      <w:pPr>
        <w:pStyle w:val="ListBullet"/>
      </w:pPr>
      <w:r>
        <w:t>PubMed - PMID:2018041</w:t>
      </w:r>
    </w:p>
    <w:p>
      <w:pPr>
        <w:pStyle w:val="ListBullet"/>
      </w:pPr>
      <w:r>
        <w:t>PubMed - PMID:11133798</w:t>
      </w:r>
    </w:p>
    <w:p>
      <w:pPr>
        <w:pStyle w:val="ListBullet"/>
      </w:pPr>
      <w:r>
        <w:t>PubMed - PMID:21364701</w:t>
      </w:r>
    </w:p>
    <w:p>
      <w:pPr>
        <w:pStyle w:val="ListBullet"/>
      </w:pPr>
      <w:r>
        <w:t>PubMed - PMID:30741831</w:t>
      </w:r>
    </w:p>
    <w:p>
      <w:pPr>
        <w:pStyle w:val="Heading2"/>
      </w:pPr>
      <w:r>
        <w:t>Medical Disclaimer</w:t>
      </w:r>
    </w:p>
    <w:p>
      <w:pPr>
        <w:spacing w:before="100" w:after="160"/>
        <w:ind w:left="216" w:right="216"/>
        <w:shd w:fill="EAF2F8"/>
      </w:pPr>
      <w:r>
        <w:t>AI-generated decision-support summary based only on the supplied Evidence Object. It is not a diagnosis or treatment recommendation and requires review by a qualified healthcare professional.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770"/>
        <w:sz w:val="16"/>
      </w:rPr>
      <w:t xml:space="preserve">Page </w:t>
    </w:r>
    <w:r>
      <w:rPr>
        <w:rFonts w:ascii="Calibri" w:hAnsi="Calibri"/>
        <w:color w:val="5B677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B6770"/>
        <w:sz w:val="16"/>
      </w:rPr>
      <w:t>CLINICAL VARIANT INTERPRETATION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1F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1F324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Variant Interpretation Report</dc:title>
  <dc:subject>Evidence-bound clinical variant interpretation report</dc:subject>
  <dc:creator>Clinical Variant Interpretation Project</dc:creator>
  <cp:keywords>clinical variant, evidence report, decision support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