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NGS Result Report</w:t>
      </w:r>
    </w:p>
    <w:tbl>
      <w:tblPr>
        <w:tblW w:type="dxa" w:w="9360"/>
        <w:jc w:val="center"/>
        <w:tblLayout w:type="fixed"/>
        <w:tblLook w:firstColumn="1" w:firstRow="1" w:lastColumn="0" w:lastRow="0" w:noHBand="0" w:noVBand="1" w:val="04A0"/>
        <w:tblInd w:w="80" w:type="dxa"/>
        <w:tblCaption w:val="Report metadata without patient identifiers"/>
        <w:tblDescription w:val="Report metadata without patient identifiers"/>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Pr>
      <w:tblGrid>
        <w:gridCol w:w="4680"/>
        <w:gridCol w:w="4680"/>
      </w:tblGrid>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ID: stage101-complex_indel-report</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Input allele: 6</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Genome build: GRCh38</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state: Confirmed</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Generated: 2026-08-11</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Template: professor-report-v1</w:t>
            </w:r>
          </w:p>
        </w:tc>
      </w:tr>
    </w:tbl>
    <w:p>
      <w:pPr>
        <w:pStyle w:val="MajorHeading"/>
      </w:pPr>
      <w:r>
        <w:t>Clinical Features:</w:t>
      </w:r>
    </w:p>
    <w:p>
      <w:pPr>
        <w:pStyle w:val="ReportBody"/>
      </w:pPr>
      <w:r>
        <w:t>Accepted features: Neurologic abnormality (HP:0000707); Seizure (HP:0001250). Phenotype concordance: partially supported. One accepted synthetic feature has source-supported gene context; the remaining feature is not established by the retained evidence.</w:t>
      </w:r>
    </w:p>
    <w:p>
      <w:pPr>
        <w:pStyle w:val="MajorHeading"/>
      </w:pPr>
      <w:r>
        <w:t>Method:</w:t>
      </w:r>
    </w:p>
    <w:p>
      <w:pPr>
        <w:pStyle w:val="ReportBody"/>
      </w:pPr>
      <w:r>
        <w:t>Allele-level evidence synthesis for an already filtered variant; this application did not perform sequencing or genome-wide prioritization. Call quality — QUAL: 99; FILTER: PASS; state: passed.</w:t>
      </w:r>
    </w:p>
    <w:p>
      <w:pPr>
        <w:pStyle w:val="MajorHeading"/>
      </w:pPr>
      <w:r>
        <w:t>Variant and source classification context:</w:t>
      </w:r>
    </w:p>
    <w:tbl>
      <w:tblPr>
        <w:tblW w:type="dxa" w:w="8860"/>
        <w:jc w:val="center"/>
        <w:tblLayout w:type="fixed"/>
        <w:tblLook w:firstColumn="1" w:firstRow="1" w:lastColumn="0" w:lastRow="0" w:noHBand="0" w:noVBand="1" w:val="04A0"/>
        <w:tblInd w:w="200" w:type="dxa"/>
        <w:tblCaption w:val="Variant and source classification context for one accepted allele"/>
        <w:tblDescription w:val="Variant and source classification context for one accepted allele"/>
        <w:tblBorders>
          <w:top w:val="single" w:sz="16" w:space="0" w:color="C00000"/>
          <w:left w:val="single" w:sz="16" w:space="0" w:color="C00000"/>
          <w:bottom w:val="single" w:sz="16" w:space="0" w:color="C00000"/>
          <w:right w:val="single" w:sz="16" w:space="0" w:color="C00000"/>
          <w:insideH w:val="single" w:sz="16" w:space="0" w:color="C00000"/>
          <w:insideV w:val="single" w:sz="16" w:space="0" w:color="C00000"/>
        </w:tblBorders>
      </w:tblPr>
      <w:tblGrid>
        <w:gridCol w:w="8860"/>
      </w:tblGrid>
      <w:tr>
        <w:tc>
          <w:tcPr>
            <w:tcW w:type="dxa" w:w="8860"/>
            <w:tcMar>
              <w:top w:w="120" w:type="dxa"/>
              <w:start w:w="200" w:type="dxa"/>
              <w:bottom w:w="120" w:type="dxa"/>
              <w:end w:w="200" w:type="dxa"/>
            </w:tcMar>
            <w:vAlign w:val="center"/>
          </w:tcPr>
          <w:p>
            <w:pPr>
              <w:pStyle w:val="ResultVariant"/>
            </w:pPr>
            <w:r/>
            <w:r>
              <w:t>GENE1:c.101_252delinsA p.(Gly34_Leu84delinsAsp)</w:t>
            </w:r>
          </w:p>
          <w:p>
            <w:pPr>
              <w:pStyle w:val="ResultVariant"/>
            </w:pPr>
            <w:r>
              <w:t>Heterozygous</w:t>
            </w:r>
          </w:p>
          <w:p>
            <w:pPr>
              <w:pStyle w:val="ResultClassification"/>
            </w:pPr>
            <w:r>
              <w:t>System classification: Not independently determined</w:t>
            </w:r>
          </w:p>
          <w:p>
            <w:pPr>
              <w:pStyle w:val="ResultSource"/>
            </w:pPr>
            <w:r>
              <w:t>Source: No independent application classification</w:t>
            </w:r>
          </w:p>
        </w:tc>
      </w:tr>
    </w:tbl>
    <w:p>
      <w:pPr>
        <w:pStyle w:val="MajorHeading"/>
      </w:pPr>
      <w:r>
        <w:t>Brief Interpretation(s):</w:t>
      </w:r>
    </w:p>
    <w:p>
      <w:pPr>
        <w:pStyle w:val="ReportBody"/>
      </w:pPr>
      <w:r>
        <w:t>This synthetic complex deletion-insertion verifies wrapping of long allele identity without merging, clipping, or loss of the exact reference allele.</w:t>
      </w:r>
    </w:p>
    <w:p>
      <w:pPr>
        <w:pStyle w:val="DecisionSupportNotice"/>
      </w:pPr>
      <w:r>
        <w:t>Decision-support output for educational and research use; qualified human review is required.</w:t>
      </w:r>
    </w:p>
    <w:p>
      <w:r>
        <w:br w:type="page"/>
      </w:r>
    </w:p>
    <w:p>
      <w:pPr>
        <w:pStyle w:val="MajorHeading"/>
      </w:pPr>
      <w:r>
        <w:t>Main Finding(s) in Detail:</w:t>
      </w:r>
    </w:p>
    <w:tbl>
      <w:tblPr>
        <w:tblW w:type="dxa" w:w="9547"/>
        <w:jc w:val="center"/>
        <w:tblLayout w:type="fixed"/>
        <w:tblLook w:firstColumn="1" w:firstRow="1" w:lastColumn="0" w:lastRow="0" w:noHBand="0" w:noVBand="1" w:val="04A0"/>
        <w:tblInd w:w="80" w:type="dxa"/>
        <w:tblCaption w:val="Main Findings"/>
        <w:tblDescription w:val="Main Finding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079"/>
        <w:gridCol w:w="993"/>
        <w:gridCol w:w="821"/>
        <w:gridCol w:w="2253"/>
        <w:gridCol w:w="1260"/>
      </w:tblGrid>
      <w:tr>
        <w:trPr>
          <w:tblHeader w:val="true"/>
        </w:trPr>
        <w:tc>
          <w:tcPr>
            <w:tcW w:type="dxa" w:w="1518"/>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Gene &amp; transcript</w:t>
            </w:r>
          </w:p>
        </w:tc>
        <w:tc>
          <w:tcPr>
            <w:tcW w:type="dxa" w:w="162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Variant</w:t>
            </w:r>
          </w:p>
        </w:tc>
        <w:tc>
          <w:tcPr>
            <w:tcW w:type="dxa" w:w="1079"/>
            <w:tcMar>
              <w:top w:w="60" w:type="dxa"/>
              <w:start w:w="80" w:type="dxa"/>
              <w:bottom w:w="60" w:type="dxa"/>
              <w:end w:w="80" w:type="dxa"/>
            </w:tcMar>
            <w:vAlign w:val="center"/>
            <w:tcBorders>
              <w:right w:val="nil"/>
            </w:tcBorders>
          </w:tcPr>
          <w:p/>
        </w:tc>
        <w:tc>
          <w:tcPr>
            <w:tcW w:type="dxa" w:w="993"/>
            <w:tcMar>
              <w:top w:w="60" w:type="dxa"/>
              <w:start w:w="80" w:type="dxa"/>
              <w:bottom w:w="60" w:type="dxa"/>
              <w:end w:w="80" w:type="dxa"/>
            </w:tcMar>
            <w:vAlign w:val="center"/>
            <w:tcBorders>
              <w:left w:val="nil"/>
              <w:right w:val="nil"/>
            </w:tcBorders>
          </w:tcPr>
          <w:p>
            <w:pPr>
              <w:pStyle w:val="ReportTableText"/>
              <w:jc w:val="center"/>
            </w:pPr>
            <w:r/>
            <w:r>
              <w:rPr>
                <w:rFonts w:ascii="Times New Roman" w:hAnsi="Times New Roman" w:eastAsia="Times New Roman"/>
                <w:b/>
                <w:i w:val="0"/>
                <w:color w:val="000000"/>
                <w:sz w:val="19"/>
                <w:u w:val="none"/>
              </w:rPr>
              <w:t>Population frequency</w:t>
            </w:r>
          </w:p>
        </w:tc>
        <w:tc>
          <w:tcPr>
            <w:tcW w:type="dxa" w:w="821"/>
            <w:tcMar>
              <w:top w:w="60" w:type="dxa"/>
              <w:start w:w="80" w:type="dxa"/>
              <w:bottom w:w="60" w:type="dxa"/>
              <w:end w:w="80" w:type="dxa"/>
            </w:tcMar>
            <w:vAlign w:val="center"/>
            <w:tcBorders>
              <w:left w:val="nil"/>
            </w:tcBorders>
          </w:tcPr>
          <w:p/>
        </w:tc>
        <w:tc>
          <w:tcPr>
            <w:tcW w:type="dxa" w:w="225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Associated disease &amp; ID</w:t>
            </w:r>
          </w:p>
        </w:tc>
        <w:tc>
          <w:tcPr>
            <w:tcW w:type="dxa" w:w="1260"/>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Zygosity</w:t>
            </w:r>
          </w:p>
        </w:tc>
      </w:tr>
      <w:tr>
        <w:trPr>
          <w:tblHeader w:val="true"/>
        </w:trPr>
        <w:tc>
          <w:tcPr>
            <w:tcW w:type="dxa" w:w="1518"/>
            <w:tcMar>
              <w:top w:w="60" w:type="dxa"/>
              <w:start w:w="80" w:type="dxa"/>
              <w:bottom w:w="60" w:type="dxa"/>
              <w:end w:w="80" w:type="dxa"/>
            </w:tcMar>
            <w:vAlign w:val="center"/>
            <w:tcBorders>
              <w:top w:val="nil"/>
            </w:tcBorders>
          </w:tcPr>
          <w:p/>
        </w:tc>
        <w:tc>
          <w:tcPr>
            <w:tcW w:type="dxa" w:w="1623"/>
            <w:tcMar>
              <w:top w:w="60" w:type="dxa"/>
              <w:start w:w="80" w:type="dxa"/>
              <w:bottom w:w="60" w:type="dxa"/>
              <w:end w:w="80" w:type="dxa"/>
            </w:tcMar>
            <w:vAlign w:val="center"/>
            <w:tcBorders>
              <w:top w:val="nil"/>
            </w:tcBorders>
          </w:tcPr>
          <w:p/>
        </w:tc>
        <w:tc>
          <w:tcPr>
            <w:tcW w:type="dxa" w:w="10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gnomAD</w:t>
              <w:br/>
              <w:t>gnomAD r4</w:t>
            </w:r>
          </w:p>
        </w:tc>
        <w:tc>
          <w:tcPr>
            <w:tcW w:type="dxa" w:w="99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1000 Genomes</w:t>
              <w:br/>
              <w:t>Phase 3</w:t>
            </w:r>
          </w:p>
        </w:tc>
        <w:tc>
          <w:tcPr>
            <w:tcW w:type="dxa" w:w="821"/>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Ensembl Variation</w:t>
              <w:br/>
              <w:t>GRCh38 variation</w:t>
              <w:br/>
              <w:t>(fallback)</w:t>
            </w:r>
          </w:p>
        </w:tc>
        <w:tc>
          <w:tcPr>
            <w:tcW w:type="dxa" w:w="2253"/>
            <w:tcMar>
              <w:top w:w="60" w:type="dxa"/>
              <w:start w:w="80" w:type="dxa"/>
              <w:bottom w:w="60" w:type="dxa"/>
              <w:end w:w="80" w:type="dxa"/>
            </w:tcMar>
            <w:vAlign w:val="center"/>
            <w:tcBorders>
              <w:top w:val="nil"/>
            </w:tcBorders>
          </w:tcPr>
          <w:p/>
        </w:tc>
        <w:tc>
          <w:tcPr>
            <w:tcW w:type="dxa" w:w="1260"/>
            <w:tcMar>
              <w:top w:w="60" w:type="dxa"/>
              <w:start w:w="80" w:type="dxa"/>
              <w:bottom w:w="60" w:type="dxa"/>
              <w:end w:w="80" w:type="dxa"/>
            </w:tcMar>
            <w:vAlign w:val="center"/>
            <w:tcBorders>
              <w:top w:val="nil"/>
            </w:tcBorders>
          </w:tcP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GENE1</w:t>
              <w:br/>
              <w:t>NM_000001.1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c.101_252delinsA</w:t>
              <w:br/>
              <w:t>p.(Gly34_Leu84delinsAsp)</w:t>
            </w:r>
          </w:p>
        </w:tc>
        <w:tc>
          <w:tcPr>
            <w:tcW w:type="dxa" w:w="10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1.230e-05</w:t>
            </w:r>
          </w:p>
        </w:tc>
        <w:tc>
          <w:tcPr>
            <w:tcW w:type="dxa" w:w="99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No exact record</w:t>
            </w:r>
          </w:p>
        </w:tc>
        <w:tc>
          <w:tcPr>
            <w:tcW w:type="dxa" w:w="821"/>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2.000e-05</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Synthetic neurodevelopmental condition</w:t>
              <w:br/>
              <w:t>(MONDO:0000001)</w:t>
            </w:r>
          </w:p>
        </w:tc>
        <w:tc>
          <w:tcPr>
            <w:tcW w:type="dxa" w:w="12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Heterozygous</w:t>
            </w:r>
          </w:p>
        </w:tc>
      </w:tr>
    </w:tbl>
    <w:tbl>
      <w:tblPr>
        <w:tblW w:type="dxa" w:w="9547"/>
        <w:jc w:val="center"/>
        <w:tblLayout w:type="fixed"/>
        <w:tblLook w:firstColumn="1" w:firstRow="1" w:lastColumn="0" w:lastRow="0" w:noHBand="0" w:noVBand="1" w:val="04A0"/>
        <w:tblInd w:w="80" w:type="dxa"/>
        <w:tblCaption w:val="Main findings evidence continuation"/>
        <w:tblDescription w:val="Main findings evidence continuation"/>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528"/>
        <w:gridCol w:w="1346"/>
        <w:gridCol w:w="2253"/>
        <w:gridCol w:w="1279"/>
      </w:tblGrid>
      <w:tr>
        <w:trPr>
          <w:tblHeader w:val="true"/>
        </w:trPr>
        <w:tc>
          <w:tcPr>
            <w:tcW w:type="dxa" w:w="151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SIFT</w:t>
            </w:r>
          </w:p>
        </w:tc>
        <w:tc>
          <w:tcPr>
            <w:tcW w:type="dxa" w:w="162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PolyPhen-2</w:t>
            </w:r>
          </w:p>
        </w:tc>
        <w:tc>
          <w:tcPr>
            <w:tcW w:type="dxa" w:w="152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CADD</w:t>
            </w:r>
          </w:p>
        </w:tc>
        <w:tc>
          <w:tcPr>
            <w:tcW w:type="dxa" w:w="1346"/>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Stable variant ID</w:t>
            </w:r>
          </w:p>
        </w:tc>
        <w:tc>
          <w:tcPr>
            <w:tcW w:type="dxa" w:w="225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Classification context</w:t>
            </w:r>
          </w:p>
        </w:tc>
        <w:tc>
          <w:tcPr>
            <w:tcW w:type="dxa" w:w="12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Inheritance</w:t>
            </w: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deleterious</w:t>
              <w:br/>
              <w:t>score 0.01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probably damaging</w:t>
              <w:br/>
              <w:t>score 0.97</w:t>
            </w:r>
          </w:p>
        </w:tc>
        <w:tc>
          <w:tcPr>
            <w:tcW w:type="dxa" w:w="152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elevated score</w:t>
              <w:br/>
              <w:t>score 24.1</w:t>
            </w:r>
          </w:p>
        </w:tc>
        <w:tc>
          <w:tcPr>
            <w:tcW w:type="dxa" w:w="1346"/>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fixture ID: SYNTHETIC-VARIANT-001</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NCBI ClinVar: Uncertain significance (VUS) (criteria provided, single submitter)</w:t>
              <w:br/>
              <w:t>GeneBe: Automated uncertain significance (automated annotation only)</w:t>
            </w:r>
          </w:p>
        </w:tc>
        <w:tc>
          <w:tcPr>
            <w:tcW w:type="dxa" w:w="12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autosomal dominant</w:t>
            </w:r>
          </w:p>
        </w:tc>
      </w:tr>
    </w:tbl>
    <w:p>
      <w:pPr>
        <w:pStyle w:val="ReportLegend"/>
      </w:pPr>
      <w:r>
        <w:t>Population values are exact-allele observations from the named source. Computational predictions are source-attributed and are not independent ACMG classifications. Missingness is written explicitly.</w:t>
      </w:r>
    </w:p>
    <w:p>
      <w:pPr>
        <w:pStyle w:val="MajorHeading"/>
      </w:pPr>
      <w:r>
        <w:t>Variant interpretation:</w:t>
      </w:r>
    </w:p>
    <w:p>
      <w:pPr>
        <w:pStyle w:val="ReportBody"/>
        <w:keepNext/>
      </w:pPr>
      <w:r/>
      <w:r>
        <w:rPr>
          <w:u w:val="single"/>
        </w:rPr>
        <w:t>GENE1:c.101_252delinsA p.(Gly34_Leu84delinsAsp)</w:t>
      </w:r>
    </w:p>
    <w:p>
      <w:pPr>
        <w:pStyle w:val="VariantInterpretationBody"/>
      </w:pPr>
      <w:r>
        <w:t>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r>
    </w:p>
    <w:p>
      <w:r>
        <w:br w:type="page"/>
      </w:r>
    </w:p>
    <w:p>
      <w:pPr>
        <w:pStyle w:val="MajorHeading"/>
      </w:pPr>
      <w:r>
        <w:t>Variant(s) classification:</w:t>
      </w:r>
    </w:p>
    <w:p>
      <w:pPr>
        <w:pStyle w:val="ReportBody"/>
      </w:pPr>
      <w:r>
        <w:t>The retained sources provide uncertain-significance context without an independently adjudicated application classification. Reviewer-confirmed classification: Not available. ClinVar classification: Uncertain significance (VUS). Automated classification context: GeneBe automated uncertain significance. Conflict status: none. Sources: NCBI ClinVar, GeneBe automated annotation. The application has not independently adjudicated an ACMG/AMP classification.</w:t>
      </w:r>
    </w:p>
    <w:p>
      <w:pPr>
        <w:pStyle w:val="MajorHeading"/>
      </w:pPr>
      <w:r>
        <w:t>Method:</w:t>
      </w:r>
    </w:p>
    <w:p>
      <w:pPr>
        <w:pStyle w:val="ReportBody"/>
      </w:pPr>
      <w:r>
        <w:t>The application validated the supplied allele identity, collected bounded source-attributed evidence, preserved provider availability and fallback provenance, and rendered the reviewer-approved interpretation without a new model request.</w:t>
      </w:r>
    </w:p>
    <w:p>
      <w:pPr>
        <w:pStyle w:val="MajorHeading"/>
      </w:pPr>
      <w:r>
        <w:t>Comments / scope:</w:t>
      </w:r>
    </w:p>
    <w:p>
      <w:pPr>
        <w:pStyle w:val="ReportBody"/>
      </w:pPr>
      <w:r>
        <w:t>All allele and phenotype values in this golden report are synthetic and reserved for layout validation.</w:t>
        <w:br/>
        <w:t>One population observation was supplied by the explicitly identified fallback source.</w:t>
        <w:br/>
        <w:t>The CSpec record is context only; no specification criteria were executed.</w:t>
        <w:br/>
        <w:t>This allele-level report supports qualified human review and does not provide a diagnosis, treatment recommendation, or testing directive.</w:t>
      </w:r>
    </w:p>
    <w:p>
      <w:pPr>
        <w:pStyle w:val="MajorHeading"/>
      </w:pPr>
      <w:r>
        <w:t>References:</w:t>
      </w:r>
    </w:p>
    <w:p>
      <w:pPr>
        <w:pStyle w:val="ReportReference"/>
      </w:pPr>
      <w:r/>
      <w:r>
        <w:rPr>
          <w:rFonts w:ascii="Times New Roman" w:hAnsi="Times New Roman" w:eastAsia="Times New Roman"/>
          <w:sz w:val="14"/>
        </w:rPr>
        <w:t xml:space="preserve">1. Standards and guidelines for the interpretation of sequence variants. </w:t>
      </w:r>
      <w:hyperlink r:id="rId9">
        <w:r>
          <w:rPr>
            <w:rFonts w:ascii="Times New Roman" w:hAnsi="Times New Roman" w:eastAsia="Times New Roman"/>
            <w:sz w:val="14"/>
            <w:color w:val="2F5496"/>
            <w:u w:val="single"/>
          </w:rPr>
          <w:t>PMID: 25741868</w:t>
        </w:r>
      </w:hyperlink>
    </w:p>
    <w:p>
      <w:pPr>
        <w:pStyle w:val="ReportReference"/>
      </w:pPr>
      <w:r/>
      <w:r>
        <w:rPr>
          <w:rFonts w:ascii="Times New Roman" w:hAnsi="Times New Roman" w:eastAsia="Times New Roman"/>
          <w:sz w:val="14"/>
        </w:rPr>
        <w:t xml:space="preserve">2. ACMG and AMP sequence variant interpretation guidance. </w:t>
      </w:r>
      <w:hyperlink r:id="rId10">
        <w:r>
          <w:rPr>
            <w:rFonts w:ascii="Times New Roman" w:hAnsi="Times New Roman" w:eastAsia="Times New Roman"/>
            <w:sz w:val="14"/>
            <w:color w:val="2F5496"/>
            <w:u w:val="single"/>
          </w:rPr>
          <w:t>DOI: 10.1038/gim.2015.30</w:t>
        </w:r>
      </w:hyperlink>
    </w:p>
    <w:p>
      <w:pPr>
        <w:pStyle w:val="ReportReference"/>
      </w:pPr>
      <w:r/>
      <w:r>
        <w:rPr>
          <w:rFonts w:ascii="Times New Roman" w:hAnsi="Times New Roman" w:eastAsia="Times New Roman"/>
          <w:sz w:val="14"/>
        </w:rPr>
        <w:t xml:space="preserve">3. Sequence variant interpretation standards. </w:t>
      </w:r>
      <w:hyperlink r:id="rId11">
        <w:r>
          <w:rPr>
            <w:rFonts w:ascii="Times New Roman" w:hAnsi="Times New Roman" w:eastAsia="Times New Roman"/>
            <w:sz w:val="14"/>
            <w:color w:val="2F5496"/>
            <w:u w:val="single"/>
          </w:rPr>
          <w:t>PMCID: PMC4544753</w:t>
        </w:r>
      </w:hyperlink>
    </w:p>
    <w:p>
      <w:pPr>
        <w:pStyle w:val="MajorHeading"/>
      </w:pPr>
      <w:r>
        <w:t>Data Sources:</w:t>
      </w:r>
    </w:p>
    <w:tbl>
      <w:tblPr>
        <w:tblW w:type="dxa" w:w="9360"/>
        <w:jc w:val="center"/>
        <w:tblLayout w:type="fixed"/>
        <w:tblLook w:firstColumn="1" w:firstRow="1" w:lastColumn="0" w:lastRow="0" w:noHBand="0" w:noVBand="1" w:val="04A0"/>
        <w:tblInd w:w="80" w:type="dxa"/>
        <w:tblCaption w:val="Data Sources"/>
        <w:tblDescription w:val="Data Source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440"/>
        <w:gridCol w:w="1440"/>
        <w:gridCol w:w="1080"/>
        <w:gridCol w:w="2160"/>
        <w:gridCol w:w="1800"/>
        <w:gridCol w:w="1440"/>
      </w:tblGrid>
      <w:tr>
        <w:trPr>
          <w:tblHeader w:val="true"/>
        </w:trPr>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Source</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Capability</w:t>
            </w:r>
          </w:p>
        </w:tc>
        <w:tc>
          <w:tcPr>
            <w:tcW w:type="dxa" w:w="108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Status</w:t>
            </w:r>
          </w:p>
        </w:tc>
        <w:tc>
          <w:tcPr>
            <w:tcW w:type="dxa" w:w="216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Record or dataset</w:t>
            </w:r>
          </w:p>
        </w:tc>
        <w:tc>
          <w:tcPr>
            <w:tcW w:type="dxa" w:w="180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Method</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Link</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VEP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variant consequence</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2">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NCBI ClinVar</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clinical classification</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synthetic-clinvar-context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3">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GeneBe</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automated classification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2-100001-C-T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4">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 GenCC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disease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MONDO:0000001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context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5">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CSpec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specification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synthetic-context-only</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released metadata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6">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 r4</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Not available</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Variation</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 (fallback)</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overlap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2">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Europe PMC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literature retrieval</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MED:25741868</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identifier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7">
              <w:r>
                <w:rPr>
                  <w:rFonts w:ascii="Times New Roman" w:hAnsi="Times New Roman" w:eastAsia="Times New Roman"/>
                  <w:sz w:val="19"/>
                  <w:color w:val="2F5496"/>
                  <w:u w:val="single"/>
                </w:rPr>
                <w:t>Open record</w:t>
              </w:r>
            </w:hyperlink>
          </w:p>
        </w:tc>
      </w:tr>
    </w:tbl>
    <w:sectPr w:rsidR="00FC693F" w:rsidRPr="0006063C" w:rsidSect="00034616">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59"/>
      <w:jc w:val="both"/>
    </w:pPr>
    <w:rPr>
      <w:rFonts w:ascii="Times New Roman" w:hAnsi="Times New Roman" w:eastAsia="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spacing w:before="0" w:after="200"/>
      <w:jc w:val="center"/>
    </w:pPr>
    <w:rPr>
      <w:rFonts w:ascii="Times New Roman" w:hAnsi="Times New Roman" w:eastAsia="Times New Roman"/>
      <w:b/>
      <w:i/>
      <w:color w:val="000000"/>
      <w:sz w:val="36"/>
    </w:rPr>
  </w:style>
  <w:style w:type="paragraph" w:customStyle="1" w:styleId="MajorHeading">
    <w:name w:val="Major Heading"/>
    <w:pPr>
      <w:keepNext/>
      <w:spacing w:before="160" w:after="80"/>
    </w:pPr>
    <w:rPr>
      <w:rFonts w:ascii="Times New Roman" w:hAnsi="Times New Roman" w:eastAsia="Times New Roman"/>
      <w:b/>
      <w:i w:val="0"/>
      <w:color w:val="000000"/>
      <w:sz w:val="24"/>
    </w:rPr>
  </w:style>
  <w:style w:type="paragraph" w:customStyle="1" w:styleId="ReportBody">
    <w:name w:val="Report Body"/>
    <w:pPr>
      <w:spacing w:before="0" w:after="0" w:line="259" w:lineRule="auto"/>
      <w:jc w:val="both"/>
    </w:pPr>
    <w:rPr>
      <w:rFonts w:ascii="Times New Roman" w:hAnsi="Times New Roman" w:eastAsia="Times New Roman"/>
      <w:b w:val="0"/>
      <w:i w:val="0"/>
      <w:color w:val="000000"/>
      <w:sz w:val="22"/>
    </w:rPr>
  </w:style>
  <w:style w:type="paragraph" w:customStyle="1" w:styleId="ReportMetadata">
    <w:name w:val="Report Metadata"/>
    <w:pPr>
      <w:spacing w:before="0" w:after="0"/>
      <w:jc w:val="left"/>
    </w:pPr>
    <w:rPr>
      <w:rFonts w:ascii="Times New Roman" w:hAnsi="Times New Roman" w:eastAsia="Times New Roman"/>
      <w:b w:val="0"/>
      <w:i w:val="0"/>
      <w:color w:val="000000"/>
      <w:sz w:val="17"/>
    </w:rPr>
  </w:style>
  <w:style w:type="paragraph" w:customStyle="1" w:styleId="ResultVariant">
    <w:name w:val="Result Variant"/>
    <w:pPr>
      <w:keepLines/>
      <w:spacing w:before="0" w:after="0"/>
      <w:jc w:val="center"/>
    </w:pPr>
    <w:rPr>
      <w:rFonts w:ascii="Times New Roman" w:hAnsi="Times New Roman" w:eastAsia="Times New Roman"/>
      <w:b/>
      <w:i w:val="0"/>
      <w:color w:val="2F5496"/>
      <w:sz w:val="22"/>
    </w:rPr>
  </w:style>
  <w:style w:type="paragraph" w:customStyle="1" w:styleId="ResultClassification">
    <w:name w:val="Result Classification"/>
    <w:pPr>
      <w:keepLines/>
      <w:spacing w:before="0" w:after="0"/>
      <w:jc w:val="center"/>
    </w:pPr>
    <w:rPr>
      <w:rFonts w:ascii="Times New Roman" w:hAnsi="Times New Roman" w:eastAsia="Times New Roman"/>
      <w:b/>
      <w:i/>
      <w:color w:val="FFC000"/>
      <w:sz w:val="22"/>
    </w:rPr>
  </w:style>
  <w:style w:type="paragraph" w:customStyle="1" w:styleId="ResultSource">
    <w:name w:val="Result Source"/>
    <w:pPr>
      <w:keepLines/>
      <w:spacing w:before="0" w:after="0"/>
      <w:jc w:val="center"/>
    </w:pPr>
    <w:rPr>
      <w:rFonts w:ascii="Times New Roman" w:hAnsi="Times New Roman" w:eastAsia="Times New Roman"/>
      <w:b w:val="0"/>
      <w:i/>
      <w:color w:val="000000"/>
      <w:sz w:val="17"/>
    </w:rPr>
  </w:style>
  <w:style w:type="paragraph" w:customStyle="1" w:styleId="ReportTableText">
    <w:name w:val="Report Table Text"/>
    <w:pPr>
      <w:keepLines/>
      <w:spacing w:before="0" w:after="0"/>
      <w:jc w:val="center"/>
    </w:pPr>
    <w:rPr>
      <w:rFonts w:ascii="Times New Roman" w:hAnsi="Times New Roman" w:eastAsia="Times New Roman"/>
      <w:b w:val="0"/>
      <w:i w:val="0"/>
      <w:color w:val="000000"/>
      <w:sz w:val="19"/>
    </w:rPr>
  </w:style>
  <w:style w:type="paragraph" w:customStyle="1" w:styleId="ReportLegend">
    <w:name w:val="Report Legend"/>
    <w:pPr>
      <w:spacing w:before="60" w:after="60"/>
    </w:pPr>
    <w:rPr>
      <w:rFonts w:ascii="Times New Roman" w:hAnsi="Times New Roman" w:eastAsia="Times New Roman"/>
      <w:b w:val="0"/>
      <w:i w:val="0"/>
      <w:color w:val="000000"/>
      <w:sz w:val="18"/>
    </w:rPr>
  </w:style>
  <w:style w:type="paragraph" w:customStyle="1" w:styleId="VariantInterpretationBody">
    <w:name w:val="Variant Interpretation Body"/>
    <w:pPr>
      <w:widowControl/>
      <w:spacing w:before="0" w:after="0" w:line="259" w:lineRule="auto"/>
      <w:jc w:val="both"/>
    </w:pPr>
    <w:rPr>
      <w:rFonts w:ascii="Times New Roman" w:hAnsi="Times New Roman" w:eastAsia="Times New Roman"/>
      <w:b w:val="0"/>
      <w:i w:val="0"/>
      <w:color w:val="000000"/>
      <w:sz w:val="22"/>
    </w:rPr>
  </w:style>
  <w:style w:type="paragraph" w:customStyle="1" w:styleId="ReportReference">
    <w:name w:val="Report Reference"/>
    <w:pPr>
      <w:keepLines/>
      <w:spacing w:before="0" w:after="0"/>
      <w:ind w:left="288" w:hanging="288"/>
    </w:pPr>
    <w:rPr>
      <w:rFonts w:ascii="Times New Roman" w:hAnsi="Times New Roman" w:eastAsia="Times New Roman"/>
      <w:b w:val="0"/>
      <w:i w:val="0"/>
      <w:color w:val="000000"/>
      <w:sz w:val="14"/>
    </w:rPr>
  </w:style>
  <w:style w:type="paragraph" w:customStyle="1" w:styleId="DecisionSupportNotice">
    <w:name w:val="Decision Support Notice"/>
    <w:pPr>
      <w:spacing w:before="160" w:after="0"/>
    </w:pPr>
    <w:rPr>
      <w:rFonts w:ascii="Times New Roman" w:hAnsi="Times New Roman" w:eastAsia="Times New Roman"/>
      <w:b w:val="0"/>
      <w:i/>
      <w:color w:val="404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5741868/" TargetMode="External"/><Relationship Id="rId10" Type="http://schemas.openxmlformats.org/officeDocument/2006/relationships/hyperlink" Target="https://doi.org/10.1038/gim.2015.30" TargetMode="External"/><Relationship Id="rId11" Type="http://schemas.openxmlformats.org/officeDocument/2006/relationships/hyperlink" Target="https://pmc.ncbi.nlm.nih.gov/articles/PMC4544753/" TargetMode="External"/><Relationship Id="rId12" Type="http://schemas.openxmlformats.org/officeDocument/2006/relationships/hyperlink" Target="https://www.ensembl.org/Homo_sapiens/Variation/Explore?v=rs123456" TargetMode="External"/><Relationship Id="rId13" Type="http://schemas.openxmlformats.org/officeDocument/2006/relationships/hyperlink" Target="https://www.ncbi.nlm.nih.gov/clinvar/variation/123456/" TargetMode="External"/><Relationship Id="rId14" Type="http://schemas.openxmlformats.org/officeDocument/2006/relationships/hyperlink" Target="https://genebe.net/variant/hg38/2-100001-C-T" TargetMode="External"/><Relationship Id="rId15" Type="http://schemas.openxmlformats.org/officeDocument/2006/relationships/hyperlink" Target="https://search.clinicalgenome.org/kb/gene-validity" TargetMode="External"/><Relationship Id="rId16" Type="http://schemas.openxmlformats.org/officeDocument/2006/relationships/hyperlink" Target="https://cspec.clinicalgenome.org/cspec/ui/svi/" TargetMode="External"/><Relationship Id="rId17" Type="http://schemas.openxmlformats.org/officeDocument/2006/relationships/hyperlink" Target="https://europepmc.org/article/MED/25741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Variant 006 Clinical Report</dc:title>
  <dc:subject>Editable allele-level decision-support report</dc:subject>
  <dc:creator/>
  <cp:keywords/>
  <dc:description/>
  <cp:lastModifiedBy/>
  <cp:revision>1</cp:revision>
  <dcterms:created xsi:type="dcterms:W3CDTF">2026-08-11T08:30:00Z</dcterms:created>
  <dcterms:modified xsi:type="dcterms:W3CDTF">2026-08-11T08:30:00Z</dcterms:modified>
  <cp:category/>
</cp:coreProperties>
</file>