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stage101-fully_populated-report</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1</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Variant and source classification context:</w:t>
      </w:r>
    </w:p>
    <w:tbl>
      <w:tblPr>
        <w:tblW w:type="dxa" w:w="8860"/>
        <w:jc w:val="center"/>
        <w:tblLayout w:type="fixed"/>
        <w:tblLook w:firstColumn="1" w:firstRow="1" w:lastColumn="0" w:lastRow="0" w:noHBand="0" w:noVBand="1" w:val="04A0"/>
        <w:tblInd w:w="200" w:type="dxa"/>
        <w:tblCaption w:val="Variant and source classification context for one accepted allele"/>
        <w:tblDescription w:val="Variant and source classification contex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GENE1:c.101C&gt;T p.(Arg34Trp)</w:t>
            </w:r>
          </w:p>
          <w:p>
            <w:pPr>
              <w:pStyle w:val="ResultVariant"/>
            </w:pPr>
            <w:r>
              <w:t>Heterozygous</w:t>
            </w:r>
          </w:p>
          <w:p>
            <w:pPr>
              <w:pStyle w:val="ResultClassification"/>
            </w:pPr>
            <w:r>
              <w:t>System classification: Not independently determined</w:t>
            </w:r>
          </w:p>
          <w:p>
            <w:pPr>
              <w:pStyle w:val="ResultSource"/>
            </w:pPr>
            <w:r>
              <w:t>Source: No independent application classification</w:t>
            </w:r>
          </w:p>
        </w:tc>
      </w:tr>
    </w:tbl>
    <w:p>
      <w:pPr>
        <w:pStyle w:val="MajorHeading"/>
      </w:pPr>
      <w:r>
        <w:t>Brief Interpretation(s):</w:t>
      </w:r>
    </w:p>
    <w:p>
      <w:pPr>
        <w:pStyle w:val="ReportBody"/>
      </w:pPr>
      <w:r>
        <w:t>The synthetic GENE1 c.101C&gt;T allele has rare exact-allele population evidence, uncertain-significance ClinVar context, automated GeneBe context, and three source-attributed computational predictions. Phenotype support is partial rather than complete. The evidence does not support an independent application classification, and the report preserves source roles, missingness, and the fallback population record for qualified human review.</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c.101C&gt;T</w:t>
              <w:br/>
              <w:t>p.(Arg34Trp)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GENE1:c.101C&gt;T p.(Arg34Trp)</w:t>
      </w:r>
    </w:p>
    <w:p>
      <w:pPr>
        <w:pStyle w:val="VariantInterpretationBody"/>
      </w:pPr>
      <w:r>
        <w:t>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Standards and guidelines for the interpretation of sequence variants. </w:t>
      </w:r>
      <w:hyperlink r:id="rId9">
        <w:r>
          <w:rPr>
            <w:rFonts w:ascii="Times New Roman" w:hAnsi="Times New Roman" w:eastAsia="Times New Roman"/>
            <w:sz w:val="14"/>
            <w:color w:val="2F5496"/>
            <w:u w:val="single"/>
          </w:rPr>
          <w:t>PMID: 25741868</w:t>
        </w:r>
      </w:hyperlink>
    </w:p>
    <w:p>
      <w:pPr>
        <w:pStyle w:val="ReportReference"/>
      </w:pPr>
      <w:r/>
      <w:r>
        <w:rPr>
          <w:rFonts w:ascii="Times New Roman" w:hAnsi="Times New Roman" w:eastAsia="Times New Roman"/>
          <w:sz w:val="14"/>
        </w:rPr>
        <w:t xml:space="preserve">2. ACMG and AMP sequence variant interpretation guidance. </w:t>
      </w:r>
      <w:hyperlink r:id="rId10">
        <w:r>
          <w:rPr>
            <w:rFonts w:ascii="Times New Roman" w:hAnsi="Times New Roman" w:eastAsia="Times New Roman"/>
            <w:sz w:val="14"/>
            <w:color w:val="2F5496"/>
            <w:u w:val="single"/>
          </w:rPr>
          <w:t>DOI: 10.1038/gim.2015.30</w:t>
        </w:r>
      </w:hyperlink>
    </w:p>
    <w:p>
      <w:pPr>
        <w:pStyle w:val="ReportReference"/>
      </w:pPr>
      <w:r/>
      <w:r>
        <w:rPr>
          <w:rFonts w:ascii="Times New Roman" w:hAnsi="Times New Roman" w:eastAsia="Times New Roman"/>
          <w:sz w:val="14"/>
        </w:rPr>
        <w:t xml:space="preserve">3. Sequence variant interpretation standards. </w:t>
      </w:r>
      <w:hyperlink r:id="rId11">
        <w:r>
          <w:rPr>
            <w:rFonts w:ascii="Times New Roman" w:hAnsi="Times New Roman" w:eastAsia="Times New Roman"/>
            <w:sz w:val="14"/>
            <w:color w:val="2F5496"/>
            <w:u w:val="single"/>
          </w:rPr>
          <w:t>PMCID: PMC4544753</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4">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5">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6">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7">
              <w:r>
                <w:rPr>
                  <w:rFonts w:ascii="Times New Roman" w:hAnsi="Times New Roman" w:eastAsia="Times New Roman"/>
                  <w:sz w:val="19"/>
                  <w:color w:val="2F5496"/>
                  <w:u w:val="single"/>
                </w:rPr>
                <w:t>Open record</w:t>
              </w:r>
            </w:hyperlink>
          </w:p>
        </w:tc>
      </w:tr>
    </w:tbl>
    <w:sectPr w:rsidR="00FC693F" w:rsidRPr="0006063C" w:rsidSect="00034616">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741868/" TargetMode="External"/><Relationship Id="rId10" Type="http://schemas.openxmlformats.org/officeDocument/2006/relationships/hyperlink" Target="https://doi.org/10.1038/gim.2015.30" TargetMode="External"/><Relationship Id="rId11" Type="http://schemas.openxmlformats.org/officeDocument/2006/relationships/hyperlink" Target="https://pmc.ncbi.nlm.nih.gov/articles/PMC4544753/" TargetMode="External"/><Relationship Id="rId12" Type="http://schemas.openxmlformats.org/officeDocument/2006/relationships/hyperlink" Target="https://www.ensembl.org/Homo_sapiens/Variation/Explore?v=rs123456" TargetMode="External"/><Relationship Id="rId13" Type="http://schemas.openxmlformats.org/officeDocument/2006/relationships/hyperlink" Target="https://www.ncbi.nlm.nih.gov/clinvar/variation/123456/" TargetMode="External"/><Relationship Id="rId14" Type="http://schemas.openxmlformats.org/officeDocument/2006/relationships/hyperlink" Target="https://genebe.net/variant/hg38/2-100001-C-T" TargetMode="External"/><Relationship Id="rId15" Type="http://schemas.openxmlformats.org/officeDocument/2006/relationships/hyperlink" Target="https://search.clinicalgenome.org/kb/gene-validity" TargetMode="External"/><Relationship Id="rId16" Type="http://schemas.openxmlformats.org/officeDocument/2006/relationships/hyperlink" Target="https://cspec.clinicalgenome.org/cspec/ui/svi/" TargetMode="External"/><Relationship Id="rId17"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001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