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NGS Result Report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80" w:type="dxa"/>
        <w:tblCaption w:val="Report metadata without patient identifiers"/>
        <w:tblDescription w:val="Report metadata without patient identifiers"/>
        <w:tblBorders>
          <w:top w:val="single" w:sz="6" w:space="0" w:color="A5A5A5"/>
          <w:left w:val="single" w:sz="6" w:space="0" w:color="A5A5A5"/>
          <w:bottom w:val="single" w:sz="6" w:space="0" w:color="A5A5A5"/>
          <w:right w:val="single" w:sz="6" w:space="0" w:color="A5A5A5"/>
          <w:insideH w:val="single" w:sz="6" w:space="0" w:color="A5A5A5"/>
          <w:insideV w:val="single" w:sz="6" w:space="0" w:color="A5A5A5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Report ID: stage101-sparse_evidence-report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Input allele: 2</w:t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Genome build: GRCh38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Report state: Confirmed</w:t>
            </w:r>
          </w:p>
        </w:tc>
      </w:tr>
      <w:tr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Generated: 2026-08-11</w:t>
            </w:r>
          </w:p>
        </w:tc>
        <w:tc>
          <w:tcPr>
            <w:tcW w:type="dxa" w:w="46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Metadata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  <w:u w:val="none"/>
              </w:rPr>
              <w:t>Template: professor-report-v1</w:t>
            </w:r>
          </w:p>
        </w:tc>
      </w:tr>
    </w:tbl>
    <w:p>
      <w:pPr>
        <w:pStyle w:val="MajorHeading"/>
      </w:pPr>
      <w:r>
        <w:t>Clinical Features:</w:t>
      </w:r>
    </w:p>
    <w:p>
      <w:pPr>
        <w:pStyle w:val="ReportBody"/>
      </w:pPr>
      <w:r>
        <w:t>Accepted features: No accepted HPO terms available. Phenotype concordance: unavailable. Phenotype evidence is unavailable for this synthetic case.</w:t>
      </w:r>
    </w:p>
    <w:p>
      <w:pPr>
        <w:pStyle w:val="MajorHeading"/>
      </w:pPr>
      <w:r>
        <w:t>Method:</w:t>
      </w:r>
    </w:p>
    <w:p>
      <w:pPr>
        <w:pStyle w:val="ReportBody"/>
      </w:pPr>
      <w:r>
        <w:t>Allele-level evidence synthesis for an already filtered variant; this application did not perform sequencing or genome-wide prioritization. Call quality — QUAL: 99; FILTER: PASS; state: passed.</w:t>
      </w:r>
    </w:p>
    <w:p>
      <w:pPr>
        <w:pStyle w:val="MajorHeading"/>
      </w:pPr>
      <w:r>
        <w:t>Variant and source classification context:</w:t>
      </w:r>
    </w:p>
    <w:tbl>
      <w:tblPr>
        <w:tblW w:type="dxa" w:w="8860"/>
        <w:jc w:val="center"/>
        <w:tblLayout w:type="fixed"/>
        <w:tblLook w:firstColumn="1" w:firstRow="1" w:lastColumn="0" w:lastRow="0" w:noHBand="0" w:noVBand="1" w:val="04A0"/>
        <w:tblInd w:w="200" w:type="dxa"/>
        <w:tblCaption w:val="Variant and source classification context for one accepted allele"/>
        <w:tblDescription w:val="Variant and source classification context for one accepted allele"/>
        <w:tblBorders>
          <w:top w:val="single" w:sz="16" w:space="0" w:color="C00000"/>
          <w:left w:val="single" w:sz="16" w:space="0" w:color="C00000"/>
          <w:bottom w:val="single" w:sz="16" w:space="0" w:color="C00000"/>
          <w:right w:val="single" w:sz="16" w:space="0" w:color="C00000"/>
          <w:insideH w:val="single" w:sz="16" w:space="0" w:color="C00000"/>
          <w:insideV w:val="single" w:sz="16" w:space="0" w:color="C00000"/>
        </w:tblBorders>
      </w:tblPr>
      <w:tblGrid>
        <w:gridCol w:w="8860"/>
      </w:tblGrid>
      <w:tr>
        <w:tc>
          <w:tcPr>
            <w:tcW w:type="dxa" w:w="8860"/>
            <w:tcMar>
              <w:top w:w="120" w:type="dxa"/>
              <w:start w:w="200" w:type="dxa"/>
              <w:bottom w:w="120" w:type="dxa"/>
              <w:end w:w="200" w:type="dxa"/>
            </w:tcMar>
            <w:vAlign w:val="center"/>
          </w:tcPr>
          <w:p>
            <w:pPr>
              <w:pStyle w:val="ResultVariant"/>
            </w:pPr>
            <w:r/>
            <w:r>
              <w:t>GENE1:c.101C&gt;T p.(Arg34Trp)</w:t>
            </w:r>
          </w:p>
          <w:p>
            <w:pPr>
              <w:pStyle w:val="ResultVariant"/>
            </w:pPr>
            <w:r>
              <w:t>Heterozygous</w:t>
            </w:r>
          </w:p>
          <w:p>
            <w:pPr>
              <w:pStyle w:val="ResultClassification"/>
            </w:pPr>
            <w:r>
              <w:t>System classification: Not independently determined</w:t>
            </w:r>
          </w:p>
          <w:p>
            <w:pPr>
              <w:pStyle w:val="ResultSource"/>
            </w:pPr>
            <w:r>
              <w:t>Source: No independent application classification</w:t>
            </w:r>
          </w:p>
        </w:tc>
      </w:tr>
    </w:tbl>
    <w:p>
      <w:pPr>
        <w:pStyle w:val="MajorHeading"/>
      </w:pPr>
      <w:r>
        <w:t>Brief Interpretation(s):</w:t>
      </w:r>
    </w:p>
    <w:p>
      <w:pPr>
        <w:pStyle w:val="ReportBody"/>
      </w:pPr>
      <w:r>
        <w:t>Evidence is sparse for this synthetic allele. No exact population, disease, computational, stable-identifier, or classification record is available. The report remains reviewable and does not infer missing evidence.</w:t>
      </w:r>
    </w:p>
    <w:p>
      <w:pPr>
        <w:pStyle w:val="DecisionSupportNotice"/>
      </w:pPr>
      <w:r>
        <w:t>Decision-support output for educational and research use; qualified human review is required.</w:t>
      </w:r>
    </w:p>
    <w:p>
      <w:r>
        <w:br w:type="page"/>
      </w:r>
    </w:p>
    <w:p>
      <w:pPr>
        <w:pStyle w:val="MajorHeading"/>
      </w:pPr>
      <w:r>
        <w:t>Main Finding(s) in Detail:</w:t>
      </w:r>
    </w:p>
    <w:tbl>
      <w:tblPr>
        <w:tblW w:type="dxa" w:w="9547"/>
        <w:jc w:val="center"/>
        <w:tblLayout w:type="fixed"/>
        <w:tblLook w:firstColumn="1" w:firstRow="1" w:lastColumn="0" w:lastRow="0" w:noHBand="0" w:noVBand="1" w:val="04A0"/>
        <w:tblInd w:w="80" w:type="dxa"/>
        <w:tblCaption w:val="Main Findings"/>
        <w:tblDescription w:val="Main Findings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518"/>
        <w:gridCol w:w="1623"/>
        <w:gridCol w:w="1079"/>
        <w:gridCol w:w="993"/>
        <w:gridCol w:w="821"/>
        <w:gridCol w:w="2253"/>
        <w:gridCol w:w="1260"/>
      </w:tblGrid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Gene &amp; transcript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Variant</w:t>
            </w:r>
          </w:p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right w:val="nil"/>
            </w:tcBorders>
          </w:tcPr>
          <w:p/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left w:val="nil"/>
              <w:right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Population frequency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left w:val="nil"/>
            </w:tcBorders>
          </w:tcPr>
          <w:p/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Associated disease &amp; ID</w:t>
            </w:r>
          </w:p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nil"/>
            </w:tcBorders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Zygosity</w:t>
            </w:r>
          </w:p>
        </w:tc>
      </w:tr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top w:val="nil"/>
            </w:tcBorders>
          </w:tcPr>
          <w:p/>
        </w:tc>
      </w:tr>
      <w:tr>
        <w:trPr>
          <w:cantSplit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GENE1</w:t>
              <w:br/>
              <w:t>NM_000001.1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c.101C&gt;T</w:t>
              <w:br/>
              <w:t>p.(Arg34Trp)</w:t>
            </w:r>
          </w:p>
        </w:tc>
        <w:tc>
          <w:tcPr>
            <w:tcW w:type="dxa" w:w="10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99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82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2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Heterozygous</w:t>
            </w:r>
          </w:p>
        </w:tc>
      </w:tr>
    </w:tbl>
    <w:tbl>
      <w:tblPr>
        <w:tblW w:type="dxa" w:w="9547"/>
        <w:jc w:val="center"/>
        <w:tblLayout w:type="fixed"/>
        <w:tblLook w:firstColumn="1" w:firstRow="1" w:lastColumn="0" w:lastRow="0" w:noHBand="0" w:noVBand="1" w:val="04A0"/>
        <w:tblInd w:w="80" w:type="dxa"/>
        <w:tblCaption w:val="Main findings evidence continuation"/>
        <w:tblDescription w:val="Main findings evidence continuation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518"/>
        <w:gridCol w:w="1623"/>
        <w:gridCol w:w="1528"/>
        <w:gridCol w:w="1346"/>
        <w:gridCol w:w="2253"/>
        <w:gridCol w:w="1279"/>
      </w:tblGrid>
      <w:tr>
        <w:trPr>
          <w:tblHeader w:val="true"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34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Stable variant ID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Classification context</w:t>
            </w:r>
          </w:p>
        </w:tc>
        <w:tc>
          <w:tcPr>
            <w:tcW w:type="dxa" w:w="12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Inheritance</w:t>
            </w:r>
          </w:p>
        </w:tc>
      </w:tr>
      <w:tr>
        <w:trPr>
          <w:cantSplit/>
        </w:trPr>
        <w:tc>
          <w:tcPr>
            <w:tcW w:type="dxa" w:w="151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62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34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225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  <w:tc>
          <w:tcPr>
            <w:tcW w:type="dxa" w:w="127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  <w:u w:val="none"/>
              </w:rPr>
              <w:t>Not available</w:t>
            </w:r>
          </w:p>
        </w:tc>
      </w:tr>
    </w:tbl>
    <w:p>
      <w:pPr>
        <w:pStyle w:val="ReportLegend"/>
      </w:pPr>
      <w:r>
        <w:t>Population values are exact-allele observations from the named source. Computational predictions are source-attributed and are not independent ACMG classifications. Missingness is written explicitly.</w:t>
      </w:r>
    </w:p>
    <w:p>
      <w:pPr>
        <w:pStyle w:val="MajorHeading"/>
      </w:pPr>
      <w:r>
        <w:t>Variant interpretation:</w:t>
      </w:r>
    </w:p>
    <w:p>
      <w:pPr>
        <w:pStyle w:val="ReportBody"/>
        <w:keepNext/>
      </w:pPr>
      <w:r/>
      <w:r>
        <w:rPr>
          <w:u w:val="single"/>
        </w:rPr>
        <w:t>GENE1:c.101C&gt;T p.(Arg34Trp)</w:t>
      </w:r>
    </w:p>
    <w:p>
      <w:pPr>
        <w:pStyle w:val="VariantInterpretationBody"/>
      </w:pPr>
      <w:r>
        <w:t>Evidence is sparse for this synthetic allele. No exact population, disease, computational, stable-identifier, or classification record is available. The report remains reviewable and does not infer missing evidence.</w:t>
      </w:r>
    </w:p>
    <w:p>
      <w:r>
        <w:br w:type="page"/>
      </w:r>
    </w:p>
    <w:p>
      <w:pPr>
        <w:pStyle w:val="MajorHeading"/>
      </w:pPr>
      <w:r>
        <w:t>Variant(s) classification:</w:t>
      </w:r>
    </w:p>
    <w:p>
      <w:pPr>
        <w:pStyle w:val="ReportBody"/>
      </w:pPr>
      <w:r>
        <w:t>Classification evidence is unavailable. Reviewer-confirmed classification: Not available. ClinVar classification: Not available. Automated classification context: Not available. Conflict status: unavailable. The application has not independently adjudicated an ACMG/AMP classification.</w:t>
      </w:r>
    </w:p>
    <w:p>
      <w:pPr>
        <w:pStyle w:val="MajorHeading"/>
      </w:pPr>
      <w:r>
        <w:t>Method:</w:t>
      </w:r>
    </w:p>
    <w:p>
      <w:pPr>
        <w:pStyle w:val="ReportBody"/>
      </w:pPr>
      <w:r>
        <w:t>The application validated the supplied allele identity, collected bounded source-attributed evidence, preserved provider availability and fallback provenance, and rendered the reviewer-approved interpretation without a new model request.</w:t>
      </w:r>
    </w:p>
    <w:p>
      <w:pPr>
        <w:pStyle w:val="MajorHeading"/>
      </w:pPr>
      <w:r>
        <w:t>Comments / scope:</w:t>
      </w:r>
    </w:p>
    <w:p>
      <w:pPr>
        <w:pStyle w:val="ReportBody"/>
      </w:pPr>
      <w:r>
        <w:t>Most evidence capabilities are unavailable.</w:t>
        <w:br/>
        <w:t>This allele-level report supports qualified human review and does not provide a diagnosis, treatment recommendation, or testing directive.</w:t>
      </w:r>
    </w:p>
    <w:p>
      <w:pPr>
        <w:pStyle w:val="MajorHeading"/>
      </w:pPr>
      <w:r>
        <w:t>References:</w:t>
      </w:r>
    </w:p>
    <w:p>
      <w:pPr>
        <w:pStyle w:val="ReportReference"/>
      </w:pPr>
      <w:r/>
      <w:r>
        <w:rPr>
          <w:rFonts w:ascii="Times New Roman" w:hAnsi="Times New Roman" w:eastAsia="Times New Roman"/>
          <w:sz w:val="14"/>
        </w:rPr>
        <w:t>No retained literature references.</w:t>
      </w:r>
    </w:p>
    <w:p>
      <w:pPr>
        <w:pStyle w:val="MajorHeading"/>
      </w:pPr>
      <w:r>
        <w:t>Data Sources: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80" w:type="dxa"/>
        <w:tblCaption w:val="Data Sources"/>
        <w:tblDescription w:val="Data Sources"/>
        <w:tblBorders>
          <w:top w:val="single" w:sz="7" w:space="0" w:color="A5A5A5"/>
          <w:left w:val="single" w:sz="7" w:space="0" w:color="A5A5A5"/>
          <w:bottom w:val="single" w:sz="7" w:space="0" w:color="A5A5A5"/>
          <w:right w:val="single" w:sz="7" w:space="0" w:color="A5A5A5"/>
          <w:insideH w:val="single" w:sz="7" w:space="0" w:color="A5A5A5"/>
          <w:insideV w:val="single" w:sz="7" w:space="0" w:color="A5A5A5"/>
        </w:tblBorders>
      </w:tblPr>
      <w:tblGrid>
        <w:gridCol w:w="1440"/>
        <w:gridCol w:w="1440"/>
        <w:gridCol w:w="1080"/>
        <w:gridCol w:w="2160"/>
        <w:gridCol w:w="1800"/>
        <w:gridCol w:w="1440"/>
      </w:tblGrid>
      <w:tr>
        <w:trPr>
          <w:tblHeader w:val="true"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Source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Capability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Status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Record or dataset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Method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  <w:u w:val="none"/>
              </w:rPr>
              <w:t>Link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  <w:tc>
          <w:tcPr>
            <w:tcW w:type="dxa" w:w="10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D9D9D9"/>
          </w:tcPr>
          <w:p>
            <w:pPr>
              <w:pStyle w:val="ReportTableText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Not available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59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200"/>
      <w:jc w:val="center"/>
    </w:pPr>
    <w:rPr>
      <w:rFonts w:ascii="Times New Roman" w:hAnsi="Times New Roman" w:eastAsia="Times New Roman"/>
      <w:b/>
      <w:i/>
      <w:color w:val="000000"/>
      <w:sz w:val="36"/>
    </w:rPr>
  </w:style>
  <w:style w:type="paragraph" w:customStyle="1" w:styleId="MajorHeading">
    <w:name w:val="Major Heading"/>
    <w:pPr>
      <w:keepNext/>
      <w:spacing w:before="160" w:after="80"/>
    </w:pPr>
    <w:rPr>
      <w:rFonts w:ascii="Times New Roman" w:hAnsi="Times New Roman" w:eastAsia="Times New Roman"/>
      <w:b/>
      <w:i w:val="0"/>
      <w:color w:val="000000"/>
      <w:sz w:val="24"/>
    </w:rPr>
  </w:style>
  <w:style w:type="paragraph" w:customStyle="1" w:styleId="ReportBody">
    <w:name w:val="Report Body"/>
    <w:pPr>
      <w:spacing w:before="0" w:after="0" w:line="259" w:lineRule="auto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customStyle="1" w:styleId="ReportMetadata">
    <w:name w:val="Report Metadata"/>
    <w:pPr>
      <w:spacing w:before="0" w:after="0"/>
      <w:jc w:val="left"/>
    </w:pPr>
    <w:rPr>
      <w:rFonts w:ascii="Times New Roman" w:hAnsi="Times New Roman" w:eastAsia="Times New Roman"/>
      <w:b w:val="0"/>
      <w:i w:val="0"/>
      <w:color w:val="000000"/>
      <w:sz w:val="17"/>
    </w:rPr>
  </w:style>
  <w:style w:type="paragraph" w:customStyle="1" w:styleId="ResultVariant">
    <w:name w:val="Result Variant"/>
    <w:pPr>
      <w:keepLines/>
      <w:spacing w:before="0" w:after="0"/>
      <w:jc w:val="center"/>
    </w:pPr>
    <w:rPr>
      <w:rFonts w:ascii="Times New Roman" w:hAnsi="Times New Roman" w:eastAsia="Times New Roman"/>
      <w:b/>
      <w:i w:val="0"/>
      <w:color w:val="2F5496"/>
      <w:sz w:val="22"/>
    </w:rPr>
  </w:style>
  <w:style w:type="paragraph" w:customStyle="1" w:styleId="ResultClassification">
    <w:name w:val="Result Classification"/>
    <w:pPr>
      <w:keepLines/>
      <w:spacing w:before="0" w:after="0"/>
      <w:jc w:val="center"/>
    </w:pPr>
    <w:rPr>
      <w:rFonts w:ascii="Times New Roman" w:hAnsi="Times New Roman" w:eastAsia="Times New Roman"/>
      <w:b/>
      <w:i/>
      <w:color w:val="FFC000"/>
      <w:sz w:val="22"/>
    </w:rPr>
  </w:style>
  <w:style w:type="paragraph" w:customStyle="1" w:styleId="ResultSource">
    <w:name w:val="Result Source"/>
    <w:pPr>
      <w:keepLines/>
      <w:spacing w:before="0" w:after="0"/>
      <w:jc w:val="center"/>
    </w:pPr>
    <w:rPr>
      <w:rFonts w:ascii="Times New Roman" w:hAnsi="Times New Roman" w:eastAsia="Times New Roman"/>
      <w:b w:val="0"/>
      <w:i/>
      <w:color w:val="000000"/>
      <w:sz w:val="17"/>
    </w:rPr>
  </w:style>
  <w:style w:type="paragraph" w:customStyle="1" w:styleId="ReportTableText">
    <w:name w:val="Report Table Text"/>
    <w:pPr>
      <w:keepLines/>
      <w:spacing w:before="0" w:after="0"/>
      <w:jc w:val="center"/>
    </w:pPr>
    <w:rPr>
      <w:rFonts w:ascii="Times New Roman" w:hAnsi="Times New Roman" w:eastAsia="Times New Roman"/>
      <w:b w:val="0"/>
      <w:i w:val="0"/>
      <w:color w:val="000000"/>
      <w:sz w:val="19"/>
    </w:rPr>
  </w:style>
  <w:style w:type="paragraph" w:customStyle="1" w:styleId="ReportLegend">
    <w:name w:val="Report Legend"/>
    <w:pPr>
      <w:spacing w:before="60" w:after="60"/>
    </w:pPr>
    <w:rPr>
      <w:rFonts w:ascii="Times New Roman" w:hAnsi="Times New Roman" w:eastAsia="Times New Roman"/>
      <w:b w:val="0"/>
      <w:i w:val="0"/>
      <w:color w:val="000000"/>
      <w:sz w:val="18"/>
    </w:rPr>
  </w:style>
  <w:style w:type="paragraph" w:customStyle="1" w:styleId="VariantInterpretationBody">
    <w:name w:val="Variant Interpretation Body"/>
    <w:pPr>
      <w:widowControl/>
      <w:spacing w:before="0" w:after="0" w:line="259" w:lineRule="auto"/>
      <w:jc w:val="both"/>
    </w:pPr>
    <w:rPr>
      <w:rFonts w:ascii="Times New Roman" w:hAnsi="Times New Roman" w:eastAsia="Times New Roman"/>
      <w:b w:val="0"/>
      <w:i w:val="0"/>
      <w:color w:val="000000"/>
      <w:sz w:val="22"/>
    </w:rPr>
  </w:style>
  <w:style w:type="paragraph" w:customStyle="1" w:styleId="ReportReference">
    <w:name w:val="Report Reference"/>
    <w:pPr>
      <w:keepLines/>
      <w:spacing w:before="0" w:after="0"/>
      <w:ind w:left="288" w:hanging="288"/>
    </w:pPr>
    <w:rPr>
      <w:rFonts w:ascii="Times New Roman" w:hAnsi="Times New Roman" w:eastAsia="Times New Roman"/>
      <w:b w:val="0"/>
      <w:i w:val="0"/>
      <w:color w:val="000000"/>
      <w:sz w:val="14"/>
    </w:rPr>
  </w:style>
  <w:style w:type="paragraph" w:customStyle="1" w:styleId="DecisionSupportNotice">
    <w:name w:val="Decision Support Notice"/>
    <w:pPr>
      <w:spacing w:before="160" w:after="0"/>
    </w:pPr>
    <w:rPr>
      <w:rFonts w:ascii="Times New Roman" w:hAnsi="Times New Roman" w:eastAsia="Times New Roman"/>
      <w:b w:val="0"/>
      <w:i/>
      <w:color w:val="404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002 Clinical Report</dc:title>
  <dc:subject>Editable allele-level decision-support report</dc:subject>
  <dc:creator/>
  <cp:keywords/>
  <dc:description/>
  <cp:lastModifiedBy/>
  <cp:revision>1</cp:revision>
  <dcterms:created xsi:type="dcterms:W3CDTF">2026-08-11T08:30:00Z</dcterms:created>
  <dcterms:modified xsi:type="dcterms:W3CDTF">2026-08-11T08:30:00Z</dcterms:modified>
  <cp:category/>
</cp:coreProperties>
</file>