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22"/>
          <w:szCs w:val="22"/>
        </w:rPr>
        <w:t xml:space="preserve"/>
      </w:r>
    </w:p>
    <w:p>
      <w:pPr>
        <w:shd w:fill="1B2A4A" w:val="clear"/>
        <w:spacing w:after="0" w:before="0"/>
        <w:ind w:left="0" w:right="0"/>
        <w:jc w:val="center"/>
      </w:pPr>
      <w:r>
        <w:rPr>
          <w:rFonts w:ascii="Arial" w:cs="Arial" w:eastAsia="Arial" w:hAnsi="Arial"/>
          <w:b/>
          <w:bCs/>
          <w:color w:val="FFFFFF"/>
          <w:sz w:val="44"/>
          <w:szCs w:val="44"/>
        </w:rPr>
        <w:t xml:space="preserve">ENTERPRISE AI RESEARCH ASSISTANT</w:t>
      </w:r>
    </w:p>
    <w:p>
      <w:pPr>
        <w:shd w:fill="2E5FA3" w:val="clear"/>
        <w:spacing w:after="0" w:before="0"/>
        <w:jc w:val="center"/>
      </w:pPr>
      <w:r>
        <w:rPr>
          <w:rFonts w:ascii="Arial" w:cs="Arial" w:eastAsia="Arial" w:hAnsi="Arial"/>
          <w:b w:val="false"/>
          <w:bCs w:val="false"/>
          <w:color w:val="FFFFFF"/>
          <w:sz w:val="28"/>
          <w:szCs w:val="28"/>
        </w:rPr>
        <w:t xml:space="preserve">Week 1  ·  Day 1  ·  Technical Deep-Dive Report</w:t>
      </w:r>
    </w:p>
    <w:p>
      <w:pPr>
        <w:spacing w:after="80" w:before="200"/>
        <w:jc w:val="center"/>
      </w:pPr>
      <w:r>
        <w:rPr>
          <w:rFonts w:ascii="Arial" w:cs="Arial" w:eastAsia="Arial" w:hAnsi="Arial"/>
          <w:i/>
          <w:iCs/>
          <w:color w:val="555555"/>
          <w:sz w:val="24"/>
          <w:szCs w:val="24"/>
        </w:rPr>
        <w:t xml:space="preserve">Repository Scaffold, Environment Setup &amp; Infrastructure Verification</w:t>
      </w:r>
    </w:p>
    <w:p>
      <w:pPr>
        <w:pBdr>
          <w:bottom w:val="single" w:color="2E5FA3" w:sz="8" w:space="1"/>
        </w:pBd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c>
          <w:tcPr>
            <w:tcW w:type="dxa" w:w="23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b/>
                <w:bCs/>
                <w:color w:val="1B2A4A"/>
                <w:sz w:val="20"/>
                <w:szCs w:val="20"/>
              </w:rPr>
              <w:t xml:space="preserve">Author</w:t>
            </w:r>
          </w:p>
        </w:tc>
        <w:tc>
          <w:tcPr>
            <w:tcW w:type="dxa" w:w="6900"/>
            <w:tcBorders>
              <w:top w:val="single" w:color="BFCFE8" w:sz="1"/>
              <w:left w:val="single" w:color="BFCFE8" w:sz="1"/>
              <w:bottom w:val="single" w:color="BFCFE8" w:sz="1"/>
              <w:right w:val="single" w:color="BFCFE8" w:sz="1"/>
            </w:tcBorders>
            <w:tcMar>
              <w:top w:type="dxa" w:w="80"/>
              <w:left w:type="dxa" w:w="160"/>
              <w:bottom w:type="dxa" w:w="80"/>
              <w:right w:type="dxa" w:w="160"/>
            </w:tcMar>
          </w:tcPr>
          <w:p>
            <w:r>
              <w:rPr>
                <w:rFonts w:ascii="Arial" w:cs="Arial" w:eastAsia="Arial" w:hAnsi="Arial"/>
                <w:color w:val="2D2D2D"/>
                <w:sz w:val="20"/>
                <w:szCs w:val="20"/>
              </w:rPr>
              <w:t xml:space="preserve">Parhavi G.V  |  Senior AI Engineer</w:t>
            </w:r>
          </w:p>
        </w:tc>
      </w:tr>
      <w:tr>
        <w:tc>
          <w:tcPr>
            <w:tcW w:type="dxa" w:w="23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b/>
                <w:bCs/>
                <w:color w:val="1B2A4A"/>
                <w:sz w:val="20"/>
                <w:szCs w:val="20"/>
              </w:rPr>
              <w:t xml:space="preserve">Sprint</w:t>
            </w:r>
          </w:p>
        </w:tc>
        <w:tc>
          <w:tcPr>
            <w:tcW w:type="dxa" w:w="6900"/>
            <w:tcBorders>
              <w:top w:val="single" w:color="BFCFE8" w:sz="1"/>
              <w:left w:val="single" w:color="BFCFE8" w:sz="1"/>
              <w:bottom w:val="single" w:color="BFCFE8" w:sz="1"/>
              <w:right w:val="single" w:color="BFCFE8" w:sz="1"/>
            </w:tcBorders>
            <w:tcMar>
              <w:top w:type="dxa" w:w="80"/>
              <w:left w:type="dxa" w:w="160"/>
              <w:bottom w:type="dxa" w:w="80"/>
              <w:right w:type="dxa" w:w="160"/>
            </w:tcMar>
          </w:tcPr>
          <w:p>
            <w:r>
              <w:rPr>
                <w:rFonts w:ascii="Arial" w:cs="Arial" w:eastAsia="Arial" w:hAnsi="Arial"/>
                <w:color w:val="2D2D2D"/>
                <w:sz w:val="20"/>
                <w:szCs w:val="20"/>
              </w:rPr>
              <w:t xml:space="preserve">Sprint 1 of 4  ·  Day 1 of 7  ·  Ingestion Pipeline</w:t>
            </w:r>
          </w:p>
        </w:tc>
      </w:tr>
      <w:tr>
        <w:tc>
          <w:tcPr>
            <w:tcW w:type="dxa" w:w="23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b/>
                <w:bCs/>
                <w:color w:val="1B2A4A"/>
                <w:sz w:val="20"/>
                <w:szCs w:val="20"/>
              </w:rPr>
              <w:t xml:space="preserve">Date</w:t>
            </w:r>
          </w:p>
        </w:tc>
        <w:tc>
          <w:tcPr>
            <w:tcW w:type="dxa" w:w="6900"/>
            <w:tcBorders>
              <w:top w:val="single" w:color="BFCFE8" w:sz="1"/>
              <w:left w:val="single" w:color="BFCFE8" w:sz="1"/>
              <w:bottom w:val="single" w:color="BFCFE8" w:sz="1"/>
              <w:right w:val="single" w:color="BFCFE8" w:sz="1"/>
            </w:tcBorders>
            <w:tcMar>
              <w:top w:type="dxa" w:w="80"/>
              <w:left w:type="dxa" w:w="160"/>
              <w:bottom w:type="dxa" w:w="80"/>
              <w:right w:type="dxa" w:w="160"/>
            </w:tcMar>
          </w:tcPr>
          <w:p>
            <w:r>
              <w:rPr>
                <w:rFonts w:ascii="Arial" w:cs="Arial" w:eastAsia="Arial" w:hAnsi="Arial"/>
                <w:color w:val="2D2D2D"/>
                <w:sz w:val="20"/>
                <w:szCs w:val="20"/>
              </w:rPr>
              <w:t xml:space="preserve">22 April 2026</w:t>
            </w:r>
          </w:p>
        </w:tc>
      </w:tr>
      <w:tr>
        <w:tc>
          <w:tcPr>
            <w:tcW w:type="dxa" w:w="23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b/>
                <w:bCs/>
                <w:color w:val="1B2A4A"/>
                <w:sz w:val="20"/>
                <w:szCs w:val="20"/>
              </w:rPr>
              <w:t xml:space="preserve">Stack</w:t>
            </w:r>
          </w:p>
        </w:tc>
        <w:tc>
          <w:tcPr>
            <w:tcW w:type="dxa" w:w="6900"/>
            <w:tcBorders>
              <w:top w:val="single" w:color="BFCFE8" w:sz="1"/>
              <w:left w:val="single" w:color="BFCFE8" w:sz="1"/>
              <w:bottom w:val="single" w:color="BFCFE8" w:sz="1"/>
              <w:right w:val="single" w:color="BFCFE8" w:sz="1"/>
            </w:tcBorders>
            <w:tcMar>
              <w:top w:type="dxa" w:w="80"/>
              <w:left w:type="dxa" w:w="160"/>
              <w:bottom w:type="dxa" w:w="80"/>
              <w:right w:type="dxa" w:w="160"/>
            </w:tcMar>
          </w:tcPr>
          <w:p>
            <w:r>
              <w:rPr>
                <w:rFonts w:ascii="Arial" w:cs="Arial" w:eastAsia="Arial" w:hAnsi="Arial"/>
                <w:color w:val="2D2D2D"/>
                <w:sz w:val="20"/>
                <w:szCs w:val="20"/>
              </w:rPr>
              <w:t xml:space="preserve">Python 3.10  ·  LlamaIndex  ·  ChromaDB  ·  Ollama  ·  nomic-embed-text  ·  BM25  ·  sentence-transformers</w:t>
            </w:r>
          </w:p>
        </w:tc>
      </w:tr>
      <w:tr>
        <w:tc>
          <w:tcPr>
            <w:tcW w:type="dxa" w:w="23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b/>
                <w:bCs/>
                <w:color w:val="1B2A4A"/>
                <w:sz w:val="20"/>
                <w:szCs w:val="20"/>
              </w:rPr>
              <w:t xml:space="preserve">Status</w:t>
            </w:r>
          </w:p>
        </w:tc>
        <w:tc>
          <w:tcPr>
            <w:tcW w:type="dxa" w:w="6900"/>
            <w:tcBorders>
              <w:top w:val="single" w:color="BFCFE8" w:sz="1"/>
              <w:left w:val="single" w:color="BFCFE8" w:sz="1"/>
              <w:bottom w:val="single" w:color="BFCFE8" w:sz="1"/>
              <w:right w:val="single" w:color="BFCFE8" w:sz="1"/>
            </w:tcBorders>
            <w:shd w:fill="E6F4ED" w:val="clear"/>
            <w:tcMar>
              <w:top w:type="dxa" w:w="80"/>
              <w:left w:type="dxa" w:w="160"/>
              <w:bottom w:type="dxa" w:w="80"/>
              <w:right w:type="dxa" w:w="160"/>
            </w:tcMar>
          </w:tcPr>
          <w:p>
            <w:r>
              <w:rPr>
                <w:rFonts w:ascii="Arial" w:cs="Arial" w:eastAsia="Arial" w:hAnsi="Arial"/>
                <w:b/>
                <w:bCs/>
                <w:color w:val="1A7A4A"/>
                <w:sz w:val="20"/>
                <w:szCs w:val="20"/>
              </w:rPr>
              <w:t xml:space="preserve">✅  COMPLETE  —  8/8 Smoke Tests Passing</w:t>
            </w:r>
          </w:p>
        </w:tc>
      </w:tr>
    </w:tbl>
    <w:p>
      <w:pPr>
        <w:spacing w:after="100" w:before="4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
        <w:gridCol w:w="2200"/>
        <w:gridCol w:w="100"/>
        <w:gridCol w:w="2200"/>
        <w:gridCol w:w="100"/>
        <w:gridCol w:w="2200"/>
      </w:tblGrid>
      <w:tr>
        <w:tc>
          <w:tcPr>
            <w:tcW w:type="dxa" w:w="2200"/>
            <w:tcBorders>
              <w:top w:val="single" w:color="2E5FA3" w:sz="6"/>
              <w:left w:val="single" w:color="2E5FA3" w:sz="6"/>
              <w:bottom w:val="single" w:color="2E5FA3" w:sz="6"/>
              <w:right w:val="single" w:color="2E5FA3" w:sz="6"/>
            </w:tcBorders>
            <w:shd w:fill="D6E4F7" w:val="clear"/>
            <w:tcMar>
              <w:top w:type="dxa" w:w="160"/>
              <w:left w:type="dxa" w:w="160"/>
              <w:bottom w:type="dxa" w:w="160"/>
              <w:right w:type="dxa" w:w="160"/>
            </w:tcMar>
          </w:tcPr>
          <w:p>
            <w:pPr>
              <w:jc w:val="center"/>
            </w:pPr>
            <w:r>
              <w:rPr>
                <w:rFonts w:ascii="Arial" w:cs="Arial" w:eastAsia="Arial" w:hAnsi="Arial"/>
                <w:b/>
                <w:bCs/>
                <w:color w:val="1B2A4A"/>
                <w:sz w:val="52"/>
                <w:szCs w:val="52"/>
              </w:rPr>
              <w:t xml:space="preserve">8 / 8</w:t>
            </w:r>
          </w:p>
          <w:p>
            <w:pPr>
              <w:jc w:val="center"/>
            </w:pPr>
            <w:r>
              <w:rPr>
                <w:rFonts w:ascii="Arial" w:cs="Arial" w:eastAsia="Arial" w:hAnsi="Arial"/>
                <w:color w:val="555555"/>
                <w:sz w:val="18"/>
                <w:szCs w:val="18"/>
              </w:rPr>
              <w:t xml:space="preserve">Smoke Tests Passing</w:t>
            </w:r>
          </w:p>
        </w:tc>
        <w:tc>
          <w:tcPr>
            <w:tcW w:type="dxa" w:w="100"/>
            <w:tcBorders>
              <w:top w:val="none"/>
              <w:left w:val="none"/>
              <w:bottom w:val="none"/>
              <w:right w:val="none"/>
            </w:tcBorders>
          </w:tcPr>
          <w:p/>
        </w:tc>
        <w:tc>
          <w:tcPr>
            <w:tcW w:type="dxa" w:w="2200"/>
            <w:tcBorders>
              <w:top w:val="single" w:color="2E5FA3" w:sz="6"/>
              <w:left w:val="single" w:color="2E5FA3" w:sz="6"/>
              <w:bottom w:val="single" w:color="2E5FA3" w:sz="6"/>
              <w:right w:val="single" w:color="2E5FA3" w:sz="6"/>
            </w:tcBorders>
            <w:shd w:fill="D6E4F7" w:val="clear"/>
            <w:tcMar>
              <w:top w:type="dxa" w:w="160"/>
              <w:left w:type="dxa" w:w="160"/>
              <w:bottom w:type="dxa" w:w="160"/>
              <w:right w:type="dxa" w:w="160"/>
            </w:tcMar>
          </w:tcPr>
          <w:p>
            <w:pPr>
              <w:jc w:val="center"/>
            </w:pPr>
            <w:r>
              <w:rPr>
                <w:rFonts w:ascii="Arial" w:cs="Arial" w:eastAsia="Arial" w:hAnsi="Arial"/>
                <w:b/>
                <w:bCs/>
                <w:color w:val="1B2A4A"/>
                <w:sz w:val="52"/>
                <w:szCs w:val="52"/>
              </w:rPr>
              <w:t xml:space="preserve">768</w:t>
            </w:r>
          </w:p>
          <w:p>
            <w:pPr>
              <w:jc w:val="center"/>
            </w:pPr>
            <w:r>
              <w:rPr>
                <w:rFonts w:ascii="Arial" w:cs="Arial" w:eastAsia="Arial" w:hAnsi="Arial"/>
                <w:color w:val="555555"/>
                <w:sz w:val="18"/>
                <w:szCs w:val="18"/>
              </w:rPr>
              <w:t xml:space="preserve">Embedding Dimensions</w:t>
            </w:r>
          </w:p>
        </w:tc>
        <w:tc>
          <w:tcPr>
            <w:tcW w:type="dxa" w:w="100"/>
            <w:tcBorders>
              <w:top w:val="none"/>
              <w:left w:val="none"/>
              <w:bottom w:val="none"/>
              <w:right w:val="none"/>
            </w:tcBorders>
          </w:tcPr>
          <w:p/>
        </w:tc>
        <w:tc>
          <w:tcPr>
            <w:tcW w:type="dxa" w:w="2200"/>
            <w:tcBorders>
              <w:top w:val="single" w:color="2E5FA3" w:sz="6"/>
              <w:left w:val="single" w:color="2E5FA3" w:sz="6"/>
              <w:bottom w:val="single" w:color="2E5FA3" w:sz="6"/>
              <w:right w:val="single" w:color="2E5FA3" w:sz="6"/>
            </w:tcBorders>
            <w:shd w:fill="D6E4F7" w:val="clear"/>
            <w:tcMar>
              <w:top w:type="dxa" w:w="160"/>
              <w:left w:type="dxa" w:w="160"/>
              <w:bottom w:type="dxa" w:w="160"/>
              <w:right w:type="dxa" w:w="160"/>
            </w:tcMar>
          </w:tcPr>
          <w:p>
            <w:pPr>
              <w:jc w:val="center"/>
            </w:pPr>
            <w:r>
              <w:rPr>
                <w:rFonts w:ascii="Arial" w:cs="Arial" w:eastAsia="Arial" w:hAnsi="Arial"/>
                <w:b/>
                <w:bCs/>
                <w:color w:val="1B2A4A"/>
                <w:sz w:val="52"/>
                <w:szCs w:val="52"/>
              </w:rPr>
              <w:t xml:space="preserve">17</w:t>
            </w:r>
          </w:p>
          <w:p>
            <w:pPr>
              <w:jc w:val="center"/>
            </w:pPr>
            <w:r>
              <w:rPr>
                <w:rFonts w:ascii="Arial" w:cs="Arial" w:eastAsia="Arial" w:hAnsi="Arial"/>
                <w:color w:val="555555"/>
                <w:sz w:val="18"/>
                <w:szCs w:val="18"/>
              </w:rPr>
              <w:t xml:space="preserve">Core Packages Installed</w:t>
            </w:r>
          </w:p>
        </w:tc>
        <w:tc>
          <w:tcPr>
            <w:tcW w:type="dxa" w:w="100"/>
            <w:tcBorders>
              <w:top w:val="none"/>
              <w:left w:val="none"/>
              <w:bottom w:val="none"/>
              <w:right w:val="none"/>
            </w:tcBorders>
          </w:tcPr>
          <w:p/>
        </w:tc>
        <w:tc>
          <w:tcPr>
            <w:tcW w:type="dxa" w:w="2200"/>
            <w:tcBorders>
              <w:top w:val="single" w:color="2E5FA3" w:sz="6"/>
              <w:left w:val="single" w:color="2E5FA3" w:sz="6"/>
              <w:bottom w:val="single" w:color="2E5FA3" w:sz="6"/>
              <w:right w:val="single" w:color="2E5FA3" w:sz="6"/>
            </w:tcBorders>
            <w:shd w:fill="D6E4F7" w:val="clear"/>
            <w:tcMar>
              <w:top w:type="dxa" w:w="160"/>
              <w:left w:type="dxa" w:w="160"/>
              <w:bottom w:type="dxa" w:w="160"/>
              <w:right w:type="dxa" w:w="160"/>
            </w:tcMar>
          </w:tcPr>
          <w:p>
            <w:pPr>
              <w:jc w:val="center"/>
            </w:pPr>
            <w:r>
              <w:rPr>
                <w:rFonts w:ascii="Arial" w:cs="Arial" w:eastAsia="Arial" w:hAnsi="Arial"/>
                <w:b/>
                <w:bCs/>
                <w:color w:val="1B2A4A"/>
                <w:sz w:val="52"/>
                <w:szCs w:val="52"/>
              </w:rPr>
              <w:t xml:space="preserve">8192T</w:t>
            </w:r>
          </w:p>
          <w:p>
            <w:pPr>
              <w:jc w:val="center"/>
            </w:pPr>
            <w:r>
              <w:rPr>
                <w:rFonts w:ascii="Arial" w:cs="Arial" w:eastAsia="Arial" w:hAnsi="Arial"/>
                <w:color w:val="555555"/>
                <w:sz w:val="18"/>
                <w:szCs w:val="18"/>
              </w:rPr>
              <w:t xml:space="preserve">Embedding Context Window</w:t>
            </w:r>
          </w:p>
        </w:tc>
      </w:tr>
    </w:tbl>
    <w:p>
      <w:pPr>
        <w:spacing w:after="100" w:before="300"/>
      </w:pPr>
    </w:p>
    <w:p>
      <w:pPr>
        <w:pStyle w:val="Heading1"/>
        <w:shd w:fill="1B2A4A" w:val="clear"/>
        <w:spacing w:after="120" w:before="320"/>
        <w:ind w:left="200" w:right="200"/>
      </w:pPr>
      <w:r>
        <w:rPr>
          <w:rFonts w:ascii="Arial" w:cs="Arial" w:eastAsia="Arial" w:hAnsi="Arial"/>
          <w:b/>
          <w:bCs/>
          <w:color w:val="FFFFFF"/>
          <w:sz w:val="30"/>
          <w:szCs w:val="30"/>
        </w:rPr>
        <w:t xml:space="preserve">01  |  What Is RAG — Retrieval-Augmented Generation</w:t>
      </w:r>
    </w:p>
    <w:p>
      <w:pPr>
        <w:spacing w:after="60" w:before="100"/>
      </w:pPr>
    </w:p>
    <w:p>
      <w:pPr>
        <w:spacing w:after="80" w:before="60"/>
        <w:jc w:val="both"/>
      </w:pPr>
      <w:r>
        <w:rPr>
          <w:rFonts w:ascii="Arial" w:cs="Arial" w:eastAsia="Arial" w:hAnsi="Arial"/>
          <w:color w:val="2D2D2D"/>
          <w:sz w:val="22"/>
          <w:szCs w:val="22"/>
        </w:rPr>
        <w:t xml:space="preserve">RAG (Retrieval-Augmented Generation) is an architectural pattern that extends the capability of a Large Language Model (LLM) by connecting it to an external, searchable knowledge base — rather than relying solely on the static knowledge baked into the model during training.</w:t>
      </w:r>
    </w:p>
    <w:p>
      <w:pPr>
        <w:spacing w:after="60" w:before="60"/>
      </w:pPr>
    </w:p>
    <w:p>
      <w:pPr>
        <w:spacing w:after="80" w:before="60"/>
        <w:jc w:val="both"/>
      </w:pPr>
      <w:r>
        <w:rPr>
          <w:rFonts w:ascii="Arial" w:cs="Arial" w:eastAsia="Arial" w:hAnsi="Arial"/>
          <w:color w:val="2D2D2D"/>
          <w:sz w:val="22"/>
          <w:szCs w:val="22"/>
        </w:rPr>
        <w:t xml:space="preserve">The fundamental problem RAG solves is this: an LLM trained up to a certain date knows nothing about events, documents, or data that post-dates its training cutoff. More critically for enterprise use cases, a general-purpose LLM has never seen your company's internal documents, proprietary research, legal contracts, or technical manuals. RAG bridges this gap.</w:t>
      </w:r>
    </w:p>
    <w:p>
      <w:pPr>
        <w:spacing w:after="60" w:before="80"/>
      </w:pPr>
    </w:p>
    <w:p>
      <w:pPr>
        <w:spacing w:after="80" w:before="180"/>
      </w:pPr>
      <w:r>
        <w:rPr>
          <w:rFonts w:ascii="Arial" w:cs="Arial" w:eastAsia="Arial" w:hAnsi="Arial"/>
          <w:b/>
          <w:bCs/>
          <w:color w:val="2E5FA3"/>
          <w:sz w:val="24"/>
          <w:szCs w:val="24"/>
        </w:rPr>
        <w:t xml:space="preserve">The Three Stages of a RAG System</w:t>
      </w:r>
    </w:p>
    <w:p>
      <w:pPr>
        <w:spacing w:after="80" w:before="60"/>
        <w:jc w:val="both"/>
      </w:pPr>
      <w:r>
        <w:rPr>
          <w:rFonts w:ascii="Arial" w:cs="Arial" w:eastAsia="Arial" w:hAnsi="Arial"/>
          <w:color w:val="2D2D2D"/>
          <w:sz w:val="22"/>
          <w:szCs w:val="22"/>
        </w:rPr>
        <w:t xml:space="preserve">A RAG pipeline has three sequential stages that correspond to three distinct sprints in this project:</w:t>
      </w:r>
    </w:p>
    <w:p>
      <w:pPr>
        <w:spacing w:after="40" w:before="60"/>
      </w:pPr>
    </w:p>
    <w:p>
      <w:pPr>
        <w:pStyle w:val="ListParagraph"/>
        <w:numPr>
          <w:ilvl w:val="0"/>
          <w:numId w:val="2"/>
        </w:numPr>
        <w:spacing w:after="50" w:before="50"/>
        <w:ind w:left="360" w:hanging="280"/>
      </w:pPr>
      <w:r>
        <w:rPr>
          <w:rFonts w:ascii="Arial" w:cs="Arial" w:eastAsia="Arial" w:hAnsi="Arial"/>
          <w:color w:val="2D2D2D"/>
          <w:sz w:val="22"/>
          <w:szCs w:val="22"/>
        </w:rPr>
        <w:t xml:space="preserve"/>
      </w:r>
      <w:r>
        <w:rPr>
          <w:rFonts w:ascii="Arial" w:cs="Arial" w:eastAsia="Arial" w:hAnsi="Arial"/>
          <w:b/>
          <w:bCs/>
          <w:color w:val="1B2A4A"/>
          <w:sz w:val="22"/>
          <w:szCs w:val="22"/>
        </w:rPr>
        <w:t xml:space="preserve">Stage 1 — Ingestion (Week 1):</w:t>
      </w:r>
      <w:r>
        <w:rPr>
          <w:rFonts w:ascii="Arial" w:cs="Arial" w:eastAsia="Arial" w:hAnsi="Arial"/>
          <w:color w:val="2D2D2D"/>
          <w:sz w:val="22"/>
          <w:szCs w:val="22"/>
        </w:rPr>
        <w:t xml:space="preserve"> Documents are ingested, parsed, chunked into overlapping segments, converted into numerical vector representations (embeddings), and stored in both a vector database and a sparse keyword index. This is the stage we completed on Day 1 through Day 7.</w:t>
      </w:r>
    </w:p>
    <w:p>
      <w:pPr>
        <w:pStyle w:val="ListParagraph"/>
        <w:numPr>
          <w:ilvl w:val="0"/>
          <w:numId w:val="2"/>
        </w:numPr>
        <w:spacing w:after="50" w:before="50"/>
        <w:ind w:left="360" w:hanging="280"/>
      </w:pPr>
      <w:r>
        <w:rPr>
          <w:rFonts w:ascii="Arial" w:cs="Arial" w:eastAsia="Arial" w:hAnsi="Arial"/>
          <w:color w:val="2D2D2D"/>
          <w:sz w:val="22"/>
          <w:szCs w:val="22"/>
        </w:rPr>
        <w:t xml:space="preserve"/>
      </w:r>
      <w:r>
        <w:rPr>
          <w:rFonts w:ascii="Arial" w:cs="Arial" w:eastAsia="Arial" w:hAnsi="Arial"/>
          <w:b/>
          <w:bCs/>
          <w:color w:val="1B2A4A"/>
          <w:sz w:val="22"/>
          <w:szCs w:val="22"/>
        </w:rPr>
        <w:t xml:space="preserve">Stage 2 — Retrieval (Week 2):</w:t>
      </w:r>
      <w:r>
        <w:rPr>
          <w:rFonts w:ascii="Arial" w:cs="Arial" w:eastAsia="Arial" w:hAnsi="Arial"/>
          <w:color w:val="2D2D2D"/>
          <w:sz w:val="22"/>
          <w:szCs w:val="22"/>
        </w:rPr>
        <w:t xml:space="preserve"> When a user submits a query, the system performs hybrid retrieval — combining dense vector similarity search (ChromaDB) with sparse keyword matching (BM25) — and re-ranks the results using a cross-encoder to surface the most relevant passages.</w:t>
      </w:r>
    </w:p>
    <w:p>
      <w:pPr>
        <w:pStyle w:val="ListParagraph"/>
        <w:numPr>
          <w:ilvl w:val="0"/>
          <w:numId w:val="2"/>
        </w:numPr>
        <w:spacing w:after="50" w:before="50"/>
        <w:ind w:left="360" w:hanging="280"/>
      </w:pPr>
      <w:r>
        <w:rPr>
          <w:rFonts w:ascii="Arial" w:cs="Arial" w:eastAsia="Arial" w:hAnsi="Arial"/>
          <w:color w:val="2D2D2D"/>
          <w:sz w:val="22"/>
          <w:szCs w:val="22"/>
        </w:rPr>
        <w:t xml:space="preserve"/>
      </w:r>
      <w:r>
        <w:rPr>
          <w:rFonts w:ascii="Arial" w:cs="Arial" w:eastAsia="Arial" w:hAnsi="Arial"/>
          <w:b/>
          <w:bCs/>
          <w:color w:val="1B2A4A"/>
          <w:sz w:val="22"/>
          <w:szCs w:val="22"/>
        </w:rPr>
        <w:t xml:space="preserve">Stage 3 — Generation (Week 3+):</w:t>
      </w:r>
      <w:r>
        <w:rPr>
          <w:rFonts w:ascii="Arial" w:cs="Arial" w:eastAsia="Arial" w:hAnsi="Arial"/>
          <w:color w:val="2D2D2D"/>
          <w:sz w:val="22"/>
          <w:szCs w:val="22"/>
        </w:rPr>
        <w:t xml:space="preserve"> The retrieved passages are injected into the LLM's prompt as context, and the model generates a grounded, cited response based on that evidence rather than hallucinating from training data.</w:t>
      </w:r>
    </w:p>
    <w:p>
      <w:pPr>
        <w:spacing w:after="6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HYBRID</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Research consistently shows that hybrid retrieval (dense + sparse + re-ranking) outperforms single-retriever approaches. Dense retrieval captures semantic similarity but misses exact terminology. BM25 captures exact keywords but misses paraphrased meaning. Combining both and re-ranking achieves superior Recall@5 and Precision@5 on enterprise document collections.</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02  |  Project Architecture &amp; Monorepo Design</w:t>
      </w:r>
    </w:p>
    <w:p>
      <w:pPr>
        <w:spacing w:after="60" w:before="100"/>
      </w:pPr>
    </w:p>
    <w:p>
      <w:pPr>
        <w:spacing w:after="80" w:before="60"/>
        <w:jc w:val="both"/>
      </w:pPr>
      <w:r>
        <w:rPr>
          <w:rFonts w:ascii="Arial" w:cs="Arial" w:eastAsia="Arial" w:hAnsi="Arial"/>
          <w:color w:val="2D2D2D"/>
          <w:sz w:val="22"/>
          <w:szCs w:val="22"/>
        </w:rPr>
        <w:t xml:space="preserve">Before writing a single line of AI logic, Day 1 establishes the structural foundation that every subsequent sprint depends on. The monorepo follows a domain-separation principle: ingestion logic is completely decoupled from retrieval logic, and both are decoupled from the test harness.</w:t>
      </w:r>
    </w:p>
    <w:p>
      <w:pPr>
        <w:spacing w:after="60" w:before="80"/>
      </w:pPr>
    </w:p>
    <w:p>
      <w:pPr>
        <w:spacing w:after="80" w:before="180"/>
      </w:pPr>
      <w:r>
        <w:rPr>
          <w:rFonts w:ascii="Arial" w:cs="Arial" w:eastAsia="Arial" w:hAnsi="Arial"/>
          <w:b/>
          <w:bCs/>
          <w:color w:val="2E5FA3"/>
          <w:sz w:val="24"/>
          <w:szCs w:val="24"/>
        </w:rPr>
        <w:t xml:space="preserve">Directory Structure &amp; Rationale</w:t>
      </w:r>
    </w:p>
    <w:p>
      <w:pPr>
        <w:shd w:fill="EEF2F8" w:val="clear"/>
        <w:spacing w:after="30" w:before="30"/>
        <w:ind w:left="360" w:right="360"/>
      </w:pPr>
      <w:r>
        <w:rPr>
          <w:rFonts w:ascii="Courier New" w:cs="Courier New" w:eastAsia="Courier New" w:hAnsi="Courier New"/>
          <w:color w:val="1A3A6B"/>
          <w:sz w:val="18"/>
          <w:szCs w:val="18"/>
        </w:rPr>
        <w:t xml:space="preserve">enterprise-rag/</w:t>
      </w:r>
    </w:p>
    <w:p>
      <w:pPr>
        <w:shd w:fill="EEF2F8" w:val="clear"/>
        <w:spacing w:after="30" w:before="30"/>
        <w:ind w:left="360" w:right="360"/>
      </w:pPr>
      <w:r>
        <w:rPr>
          <w:rFonts w:ascii="Courier New" w:cs="Courier New" w:eastAsia="Courier New" w:hAnsi="Courier New"/>
          <w:color w:val="1A3A6B"/>
          <w:sz w:val="18"/>
          <w:szCs w:val="18"/>
        </w:rPr>
        <w:t xml:space="preserve">├── ingestion/                ← Document processing domain</w:t>
      </w:r>
    </w:p>
    <w:p>
      <w:pPr>
        <w:shd w:fill="EEF2F8" w:val="clear"/>
        <w:spacing w:after="30" w:before="30"/>
        <w:ind w:left="360" w:right="360"/>
      </w:pPr>
      <w:r>
        <w:rPr>
          <w:rFonts w:ascii="Courier New" w:cs="Courier New" w:eastAsia="Courier New" w:hAnsi="Courier New"/>
          <w:color w:val="1A3A6B"/>
          <w:sz w:val="18"/>
          <w:szCs w:val="18"/>
        </w:rPr>
        <w:t xml:space="preserve">│   ├── parsers/              ← PDF, DOCX, URL parsers (Day 2)</w:t>
      </w:r>
    </w:p>
    <w:p>
      <w:pPr>
        <w:shd w:fill="EEF2F8" w:val="clear"/>
        <w:spacing w:after="30" w:before="30"/>
        <w:ind w:left="360" w:right="360"/>
      </w:pPr>
      <w:r>
        <w:rPr>
          <w:rFonts w:ascii="Courier New" w:cs="Courier New" w:eastAsia="Courier New" w:hAnsi="Courier New"/>
          <w:color w:val="1A3A6B"/>
          <w:sz w:val="18"/>
          <w:szCs w:val="18"/>
        </w:rPr>
        <w:t xml:space="preserve">│   ├── chunkers/             ← Semantic chunking logic (Day 3)</w:t>
      </w:r>
    </w:p>
    <w:p>
      <w:pPr>
        <w:shd w:fill="EEF2F8" w:val="clear"/>
        <w:spacing w:after="30" w:before="30"/>
        <w:ind w:left="360" w:right="360"/>
      </w:pPr>
      <w:r>
        <w:rPr>
          <w:rFonts w:ascii="Courier New" w:cs="Courier New" w:eastAsia="Courier New" w:hAnsi="Courier New"/>
          <w:color w:val="1A3A6B"/>
          <w:sz w:val="18"/>
          <w:szCs w:val="18"/>
        </w:rPr>
        <w:t xml:space="preserve">│   ├── embedders/            ← Ollama embedding client (Day 3)</w:t>
      </w:r>
    </w:p>
    <w:p>
      <w:pPr>
        <w:shd w:fill="EEF2F8" w:val="clear"/>
        <w:spacing w:after="30" w:before="30"/>
        <w:ind w:left="360" w:right="360"/>
      </w:pPr>
      <w:r>
        <w:rPr>
          <w:rFonts w:ascii="Courier New" w:cs="Courier New" w:eastAsia="Courier New" w:hAnsi="Courier New"/>
          <w:color w:val="1A3A6B"/>
          <w:sz w:val="18"/>
          <w:szCs w:val="18"/>
        </w:rPr>
        <w:t xml:space="preserve">│   └── config.py             ← Environment-driven configuration</w:t>
      </w:r>
    </w:p>
    <w:p>
      <w:pPr>
        <w:shd w:fill="EEF2F8" w:val="clear"/>
        <w:spacing w:after="30" w:before="30"/>
        <w:ind w:left="360" w:right="360"/>
      </w:pPr>
      <w:r>
        <w:rPr>
          <w:rFonts w:ascii="Courier New" w:cs="Courier New" w:eastAsia="Courier New" w:hAnsi="Courier New"/>
          <w:color w:val="1A3A6B"/>
          <w:sz w:val="18"/>
          <w:szCs w:val="18"/>
        </w:rPr>
        <w:t xml:space="preserve">├── retrieval/                ← Search &amp; ranking domain</w:t>
      </w:r>
    </w:p>
    <w:p>
      <w:pPr>
        <w:shd w:fill="EEF2F8" w:val="clear"/>
        <w:spacing w:after="30" w:before="30"/>
        <w:ind w:left="360" w:right="360"/>
      </w:pPr>
      <w:r>
        <w:rPr>
          <w:rFonts w:ascii="Courier New" w:cs="Courier New" w:eastAsia="Courier New" w:hAnsi="Courier New"/>
          <w:color w:val="1A3A6B"/>
          <w:sz w:val="18"/>
          <w:szCs w:val="18"/>
        </w:rPr>
        <w:t xml:space="preserve">│   ├── vector_store/         ← ChromaDB adapter (Day 4)</w:t>
      </w:r>
    </w:p>
    <w:p>
      <w:pPr>
        <w:shd w:fill="EEF2F8" w:val="clear"/>
        <w:spacing w:after="30" w:before="30"/>
        <w:ind w:left="360" w:right="360"/>
      </w:pPr>
      <w:r>
        <w:rPr>
          <w:rFonts w:ascii="Courier New" w:cs="Courier New" w:eastAsia="Courier New" w:hAnsi="Courier New"/>
          <w:color w:val="1A3A6B"/>
          <w:sz w:val="18"/>
          <w:szCs w:val="18"/>
        </w:rPr>
        <w:t xml:space="preserve">│   ├── bm25/                 ← BM25 sparse indexer (Day 5)</w:t>
      </w:r>
    </w:p>
    <w:p>
      <w:pPr>
        <w:shd w:fill="EEF2F8" w:val="clear"/>
        <w:spacing w:after="30" w:before="30"/>
        <w:ind w:left="360" w:right="360"/>
      </w:pPr>
      <w:r>
        <w:rPr>
          <w:rFonts w:ascii="Courier New" w:cs="Courier New" w:eastAsia="Courier New" w:hAnsi="Courier New"/>
          <w:color w:val="1A3A6B"/>
          <w:sz w:val="18"/>
          <w:szCs w:val="18"/>
        </w:rPr>
        <w:t xml:space="preserve">│   └── reranker/             ← Cross-encoder re-ranker (Day 6)</w:t>
      </w:r>
    </w:p>
    <w:p>
      <w:pPr>
        <w:shd w:fill="EEF2F8" w:val="clear"/>
        <w:spacing w:after="30" w:before="30"/>
        <w:ind w:left="360" w:right="360"/>
      </w:pPr>
      <w:r>
        <w:rPr>
          <w:rFonts w:ascii="Courier New" w:cs="Courier New" w:eastAsia="Courier New" w:hAnsi="Courier New"/>
          <w:color w:val="1A3A6B"/>
          <w:sz w:val="18"/>
          <w:szCs w:val="18"/>
        </w:rPr>
        <w:t xml:space="preserve">├── tests/                    ← Pytest test suite</w:t>
      </w:r>
    </w:p>
    <w:p>
      <w:pPr>
        <w:shd w:fill="EEF2F8" w:val="clear"/>
        <w:spacing w:after="30" w:before="30"/>
        <w:ind w:left="360" w:right="360"/>
      </w:pPr>
      <w:r>
        <w:rPr>
          <w:rFonts w:ascii="Courier New" w:cs="Courier New" w:eastAsia="Courier New" w:hAnsi="Courier New"/>
          <w:color w:val="1A3A6B"/>
          <w:sz w:val="18"/>
          <w:szCs w:val="18"/>
        </w:rPr>
        <w:t xml:space="preserve">│   └── eval/                 ← Gold-set evaluation harness (Day 7)</w:t>
      </w:r>
    </w:p>
    <w:p>
      <w:pPr>
        <w:shd w:fill="EEF2F8" w:val="clear"/>
        <w:spacing w:after="30" w:before="30"/>
        <w:ind w:left="360" w:right="360"/>
      </w:pPr>
      <w:r>
        <w:rPr>
          <w:rFonts w:ascii="Courier New" w:cs="Courier New" w:eastAsia="Courier New" w:hAnsi="Courier New"/>
          <w:color w:val="1A3A6B"/>
          <w:sz w:val="18"/>
          <w:szCs w:val="18"/>
        </w:rPr>
        <w:t xml:space="preserve">├── notebooks/                ← Chunk-size analysis (Day 7)</w:t>
      </w:r>
    </w:p>
    <w:p>
      <w:pPr>
        <w:shd w:fill="EEF2F8" w:val="clear"/>
        <w:spacing w:after="30" w:before="30"/>
        <w:ind w:left="360" w:right="360"/>
      </w:pPr>
      <w:r>
        <w:rPr>
          <w:rFonts w:ascii="Courier New" w:cs="Courier New" w:eastAsia="Courier New" w:hAnsi="Courier New"/>
          <w:color w:val="1A3A6B"/>
          <w:sz w:val="18"/>
          <w:szCs w:val="18"/>
        </w:rPr>
        <w:t xml:space="preserve">├── data/raw/                 ← Source documents</w:t>
      </w:r>
    </w:p>
    <w:p>
      <w:pPr>
        <w:shd w:fill="EEF2F8" w:val="clear"/>
        <w:spacing w:after="30" w:before="30"/>
        <w:ind w:left="360" w:right="360"/>
      </w:pPr>
      <w:r>
        <w:rPr>
          <w:rFonts w:ascii="Courier New" w:cs="Courier New" w:eastAsia="Courier New" w:hAnsi="Courier New"/>
          <w:color w:val="1A3A6B"/>
          <w:sz w:val="18"/>
          <w:szCs w:val="18"/>
        </w:rPr>
        <w:t xml:space="preserve">├── data/processed/           ← Intermediate artefacts</w:t>
      </w:r>
    </w:p>
    <w:p>
      <w:pPr>
        <w:shd w:fill="EEF2F8" w:val="clear"/>
        <w:spacing w:after="30" w:before="30"/>
        <w:ind w:left="360" w:right="360"/>
      </w:pPr>
      <w:r>
        <w:rPr>
          <w:rFonts w:ascii="Courier New" w:cs="Courier New" w:eastAsia="Courier New" w:hAnsi="Courier New"/>
          <w:color w:val="1A3A6B"/>
          <w:sz w:val="18"/>
          <w:szCs w:val="18"/>
        </w:rPr>
        <w:t xml:space="preserve">├── chroma_data/              ← ChromaDB persistence volume</w:t>
      </w:r>
    </w:p>
    <w:p>
      <w:pPr>
        <w:shd w:fill="EEF2F8" w:val="clear"/>
        <w:spacing w:after="30" w:before="30"/>
        <w:ind w:left="360" w:right="360"/>
      </w:pPr>
      <w:r>
        <w:rPr>
          <w:rFonts w:ascii="Courier New" w:cs="Courier New" w:eastAsia="Courier New" w:hAnsi="Courier New"/>
          <w:color w:val="1A3A6B"/>
          <w:sz w:val="18"/>
          <w:szCs w:val="18"/>
        </w:rPr>
        <w:t xml:space="preserve">├── .env                      ← Environment configuration</w:t>
      </w:r>
    </w:p>
    <w:p>
      <w:pPr>
        <w:shd w:fill="EEF2F8" w:val="clear"/>
        <w:spacing w:after="30" w:before="30"/>
        <w:ind w:left="360" w:right="360"/>
      </w:pPr>
      <w:r>
        <w:rPr>
          <w:rFonts w:ascii="Courier New" w:cs="Courier New" w:eastAsia="Courier New" w:hAnsi="Courier New"/>
          <w:color w:val="1A3A6B"/>
          <w:sz w:val="18"/>
          <w:szCs w:val="18"/>
        </w:rPr>
        <w:t xml:space="preserve">├── requirements.txt          ← Pinned dependencies</w:t>
      </w:r>
    </w:p>
    <w:p>
      <w:pPr>
        <w:shd w:fill="EEF2F8" w:val="clear"/>
        <w:spacing w:after="30" w:before="30"/>
        <w:ind w:left="360" w:right="360"/>
      </w:pPr>
      <w:r>
        <w:rPr>
          <w:rFonts w:ascii="Courier New" w:cs="Courier New" w:eastAsia="Courier New" w:hAnsi="Courier New"/>
          <w:color w:val="1A3A6B"/>
          <w:sz w:val="18"/>
          <w:szCs w:val="18"/>
        </w:rPr>
        <w:t xml:space="preserve">└── tests/test_day1_smoke.py  ← Day 1 verification suite</w:t>
      </w:r>
    </w:p>
    <w:p>
      <w:pPr>
        <w:spacing w:after="60" w:before="120"/>
      </w:pPr>
    </w:p>
    <w:p>
      <w:pPr>
        <w:spacing w:after="80" w:before="60"/>
        <w:jc w:val="both"/>
      </w:pPr>
      <w:r>
        <w:rPr>
          <w:rFonts w:ascii="Arial" w:cs="Arial" w:eastAsia="Arial" w:hAnsi="Arial"/>
          <w:color w:val="2D2D2D"/>
          <w:sz w:val="22"/>
          <w:szCs w:val="22"/>
        </w:rPr>
        <w:t xml:space="preserve">Every directory under ingestion/ and retrieval/ contains an __init__.py file, making them proper Python packages. This enables clean absolute imports across the codebase — for example, retrieval/vector_store/chroma_adapter.py can import from ingestion/config.py without relative path gymnastics.</w:t>
      </w:r>
    </w:p>
    <w:p>
      <w:pPr>
        <w:spacing w:after="60" w:before="80"/>
      </w:pPr>
    </w:p>
    <w:p>
      <w:pPr>
        <w:spacing w:after="80" w:before="180"/>
      </w:pPr>
      <w:r>
        <w:rPr>
          <w:rFonts w:ascii="Arial" w:cs="Arial" w:eastAsia="Arial" w:hAnsi="Arial"/>
          <w:b/>
          <w:bCs/>
          <w:color w:val="2E5FA3"/>
          <w:sz w:val="24"/>
          <w:szCs w:val="24"/>
        </w:rPr>
        <w:t xml:space="preserve">Week 2 Integration Contract</w:t>
      </w:r>
    </w:p>
    <w:p>
      <w:pPr>
        <w:spacing w:after="80" w:before="60"/>
        <w:jc w:val="both"/>
      </w:pPr>
      <w:r>
        <w:rPr>
          <w:rFonts w:ascii="Arial" w:cs="Arial" w:eastAsia="Arial" w:hAnsi="Arial"/>
          <w:color w:val="2D2D2D"/>
          <w:sz w:val="22"/>
          <w:szCs w:val="22"/>
        </w:rPr>
        <w:t xml:space="preserve">A critical architectural decision made on Day 1 is that the directory structure is consumed unchanged by the Week 2 retrieval modules. The ResearcherAgent built in Week 2 will import directly from retrieval.vector_store.chroma_adapter and retrieval.bm25.bm25_indexer — the package paths are part of the interface contract. Changing the directory structure after Day 7 would be a breaking change.</w:t>
      </w:r>
    </w:p>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03  |  Python Virtual Environment — Dependency Isolation</w:t>
      </w:r>
    </w:p>
    <w:p>
      <w:pPr>
        <w:spacing w:after="60" w:before="100"/>
      </w:pPr>
    </w:p>
    <w:p>
      <w:pPr>
        <w:spacing w:after="80" w:before="60"/>
        <w:jc w:val="both"/>
      </w:pPr>
      <w:r>
        <w:rPr>
          <w:rFonts w:ascii="Arial" w:cs="Arial" w:eastAsia="Arial" w:hAnsi="Arial"/>
          <w:color w:val="2D2D2D"/>
          <w:sz w:val="22"/>
          <w:szCs w:val="22"/>
        </w:rPr>
        <w:t xml:space="preserve">A Python virtual environment (venv) is an isolated, self-contained Python installation created within the project directory. It has its own Python interpreter, its own pip, and its own site-packages directory — completely separate from the system Python installation.</w:t>
      </w:r>
    </w:p>
    <w:p>
      <w:pPr>
        <w:spacing w:after="60" w:before="80"/>
      </w:pPr>
    </w:p>
    <w:p>
      <w:pPr>
        <w:spacing w:after="80" w:before="180"/>
      </w:pPr>
      <w:r>
        <w:rPr>
          <w:rFonts w:ascii="Arial" w:cs="Arial" w:eastAsia="Arial" w:hAnsi="Arial"/>
          <w:b/>
          <w:bCs/>
          <w:color w:val="2E5FA3"/>
          <w:sz w:val="24"/>
          <w:szCs w:val="24"/>
        </w:rPr>
        <w:t xml:space="preserve">Why Isolation Matters at Production Scale</w:t>
      </w:r>
    </w:p>
    <w:p>
      <w:pPr>
        <w:spacing w:after="80" w:before="60"/>
        <w:jc w:val="both"/>
      </w:pPr>
      <w:r>
        <w:rPr>
          <w:rFonts w:ascii="Arial" w:cs="Arial" w:eastAsia="Arial" w:hAnsi="Arial"/>
          <w:color w:val="2D2D2D"/>
          <w:sz w:val="22"/>
          <w:szCs w:val="22"/>
        </w:rPr>
        <w:t xml:space="preserve">Consider a developer machine running three AI projects simultaneously. Project A requires torch==2.0.0, Project B requires torch==2.1.0, and Project C requires torch==2.11.0. Without isolation, installing any one version breaks the other two. Virtual environments solve this by giving each project its own independent Python universe.</w:t>
      </w:r>
    </w:p>
    <w:p>
      <w:pPr>
        <w:spacing w:after="60" w:before="60"/>
      </w:pPr>
    </w:p>
    <w:p>
      <w:pPr>
        <w:spacing w:after="80" w:before="60"/>
        <w:jc w:val="both"/>
      </w:pPr>
      <w:r>
        <w:rPr>
          <w:rFonts w:ascii="Arial" w:cs="Arial" w:eastAsia="Arial" w:hAnsi="Arial"/>
          <w:color w:val="2D2D2D"/>
          <w:sz w:val="22"/>
          <w:szCs w:val="22"/>
        </w:rPr>
        <w:t xml:space="preserve">In this project, the .venv directory contains all 17 core packages and their transitive dependencies (~100+ packages total). The activation command .venv\Scripts\Activate.ps1 modifies the shell's PATH to point at the venv's Python interpreter first — so typing python or pip operates within the project's isolated environment.</w:t>
      </w:r>
    </w:p>
    <w:p>
      <w:pPr>
        <w:spacing w:after="6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0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Implementation</w:t>
            </w:r>
          </w:p>
        </w:tc>
        <w:tc>
          <w:tcPr>
            <w:tcW w:type="dxa" w:w="34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Production Relevance</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Reproducibility</w:t>
            </w:r>
          </w:p>
        </w:tc>
        <w:tc>
          <w:tcPr>
            <w:tcW w:type="dxa" w:w="30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requirements.txt with pinned versions</w:t>
            </w:r>
          </w:p>
        </w:tc>
        <w:tc>
          <w:tcPr>
            <w:tcW w:type="dxa" w:w="3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Same package versions on every developer machine and CI/CD pipeline</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Isolation</w:t>
            </w:r>
          </w:p>
        </w:tc>
        <w:tc>
          <w:tcPr>
            <w:tcW w:type="dxa" w:w="30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.venv/ directory excluded from git</w:t>
            </w:r>
          </w:p>
        </w:tc>
        <w:tc>
          <w:tcPr>
            <w:tcW w:type="dxa" w:w="3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Prevents version conflicts across projects on the same host</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12-Factor App</w:t>
            </w:r>
          </w:p>
        </w:tc>
        <w:tc>
          <w:tcPr>
            <w:tcW w:type="dxa" w:w="30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All config in .env, not hardcoded</w:t>
            </w:r>
          </w:p>
        </w:tc>
        <w:tc>
          <w:tcPr>
            <w:tcW w:type="dxa" w:w="3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Same codebase deploys to local, staging, and production by swapping .env</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Security</w:t>
            </w:r>
          </w:p>
        </w:tc>
        <w:tc>
          <w:tcPr>
            <w:tcW w:type="dxa" w:w="30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.env excluded from git via .gitignore</w:t>
            </w:r>
          </w:p>
        </w:tc>
        <w:tc>
          <w:tcPr>
            <w:tcW w:type="dxa" w:w="3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API keys, credentials, and endpoints never committed to version control</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04  |  The Technology Stack — Deep Dive</w:t>
      </w:r>
    </w:p>
    <w:p>
      <w:pPr>
        <w:spacing w:after="60" w:before="100"/>
      </w:pPr>
    </w:p>
    <w:p>
      <w:pPr>
        <w:pStyle w:val="Heading2"/>
        <w:pBdr>
          <w:bottom w:val="single" w:color="4A7EC7" w:sz="4" w:space="2"/>
        </w:pBdr>
        <w:spacing w:after="100" w:before="240"/>
      </w:pPr>
      <w:r>
        <w:rPr>
          <w:rFonts w:ascii="Arial" w:cs="Arial" w:eastAsia="Arial" w:hAnsi="Arial"/>
          <w:b/>
          <w:bCs/>
          <w:color w:val="1B2A4A"/>
          <w:sz w:val="26"/>
          <w:szCs w:val="26"/>
        </w:rPr>
        <w:t xml:space="preserve">4.1  LlamaIndex — RAG Orchestration Framework</w:t>
      </w:r>
    </w:p>
    <w:p>
      <w:pPr>
        <w:spacing w:after="80" w:before="60"/>
        <w:jc w:val="both"/>
      </w:pPr>
      <w:r>
        <w:rPr>
          <w:rFonts w:ascii="Arial" w:cs="Arial" w:eastAsia="Arial" w:hAnsi="Arial"/>
          <w:color w:val="2D2D2D"/>
          <w:sz w:val="22"/>
          <w:szCs w:val="22"/>
        </w:rPr>
        <w:t xml:space="preserve">LlamaIndex (formerly GPT Index) is the primary orchestration framework for this RAG system. It provides a unified abstraction layer over the entire pipeline: document loading, parsing, chunking (via NodeParsers), embedding, indexing, and querying. Rather than building every component from scratch, LlamaIndex provides battle-tested implementations of the most complex pieces.</w:t>
      </w:r>
    </w:p>
    <w:p>
      <w:pPr>
        <w:spacing w:after="60" w:before="60"/>
      </w:pPr>
    </w:p>
    <w:p>
      <w:pPr>
        <w:spacing w:after="80" w:before="60"/>
        <w:jc w:val="both"/>
      </w:pPr>
      <w:r>
        <w:rPr>
          <w:rFonts w:ascii="Arial" w:cs="Arial" w:eastAsia="Arial" w:hAnsi="Arial"/>
          <w:color w:val="2D2D2D"/>
          <w:sz w:val="22"/>
          <w:szCs w:val="22"/>
        </w:rPr>
        <w:t xml:space="preserve">The core abstraction in LlamaIndex is the Document and TextNode. A Document represents a raw ingested file with metadata. A TextNode is a chunked segment of that document, enriched with positional metadata (source file, page number, chunk index, character offsets). These nodes are what ultimately get embedded and stored in ChromaDB.</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4.2  ChromaDB — Dense Vector Store</w:t>
      </w:r>
    </w:p>
    <w:p>
      <w:pPr>
        <w:spacing w:after="80" w:before="60"/>
        <w:jc w:val="both"/>
      </w:pPr>
      <w:r>
        <w:rPr>
          <w:rFonts w:ascii="Arial" w:cs="Arial" w:eastAsia="Arial" w:hAnsi="Arial"/>
          <w:color w:val="2D2D2D"/>
          <w:sz w:val="22"/>
          <w:szCs w:val="22"/>
        </w:rPr>
        <w:t xml:space="preserve">ChromaDB is an open-source embedding database purpose-built for AI applications. It stores vector embeddings alongside their source text and metadata, and performs approximate nearest-neighbour (ANN) search to find the most semantically similar vectors to a query embedding.</w:t>
      </w:r>
    </w:p>
    <w:p>
      <w:pPr>
        <w:spacing w:after="60" w:before="60"/>
      </w:pPr>
    </w:p>
    <w:p>
      <w:pPr>
        <w:spacing w:after="80" w:before="180"/>
      </w:pPr>
      <w:r>
        <w:rPr>
          <w:rFonts w:ascii="Arial" w:cs="Arial" w:eastAsia="Arial" w:hAnsi="Arial"/>
          <w:b/>
          <w:bCs/>
          <w:color w:val="2E5FA3"/>
          <w:sz w:val="24"/>
          <w:szCs w:val="24"/>
        </w:rPr>
        <w:t xml:space="preserve">How Vector Similarity Search Works</w:t>
      </w:r>
    </w:p>
    <w:p>
      <w:pPr>
        <w:spacing w:after="80" w:before="60"/>
        <w:jc w:val="both"/>
      </w:pPr>
      <w:r>
        <w:rPr>
          <w:rFonts w:ascii="Arial" w:cs="Arial" w:eastAsia="Arial" w:hAnsi="Arial"/>
          <w:color w:val="2D2D2D"/>
          <w:sz w:val="22"/>
          <w:szCs w:val="22"/>
        </w:rPr>
        <w:t xml:space="preserve">When a document chunk is embedded, it becomes a point in a 768-dimensional vector space. Chunks about similar topics cluster together in this space — a document about 'machine learning model training' will produce a vector close to one about 'neural network optimisation', even if they share no exact words. Cosine similarity measures the angle between two vectors: a score of 1.0 means identical direction (same meaning), 0.0 means orthogonal (unrelated), -1.0 means opposite.</w:t>
      </w:r>
    </w:p>
    <w:p>
      <w:pPr>
        <w:spacing w:after="60" w:before="60"/>
      </w:pPr>
    </w:p>
    <w:p>
      <w:pPr>
        <w:spacing w:after="80" w:before="60"/>
        <w:jc w:val="both"/>
      </w:pPr>
      <w:r>
        <w:rPr>
          <w:rFonts w:ascii="Arial" w:cs="Arial" w:eastAsia="Arial" w:hAnsi="Arial"/>
          <w:color w:val="2D2D2D"/>
          <w:sz w:val="22"/>
          <w:szCs w:val="22"/>
        </w:rPr>
        <w:t xml:space="preserve">ChromaDB uses the HNSW (Hierarchical Navigable Small World) algorithm for approximate nearest-neighbour search. Rather than computing the distance from a query vector to every stored vector (which would be O(n) and prohibitively slow at scale), HNSW builds a multi-layer graph structure that enables sub-linear search complexity — finding the top-20 most similar chunks from a collection of millions in milliseconds.</w:t>
      </w:r>
    </w:p>
    <w:p>
      <w:pPr>
        <w:spacing w:after="60" w:before="60"/>
      </w:pPr>
    </w:p>
    <w:p>
      <w:pPr>
        <w:shd w:fill="EEF2F8" w:val="clear"/>
        <w:spacing w:after="30" w:before="30"/>
        <w:ind w:left="360" w:right="360"/>
      </w:pPr>
      <w:r>
        <w:rPr>
          <w:rFonts w:ascii="Courier New" w:cs="Courier New" w:eastAsia="Courier New" w:hAnsi="Courier New"/>
          <w:color w:val="1A3A6B"/>
          <w:sz w:val="18"/>
          <w:szCs w:val="18"/>
        </w:rPr>
        <w:t xml:space="preserve"># ChromaDB initialisation with cosine distance metric</w:t>
      </w:r>
    </w:p>
    <w:p>
      <w:pPr>
        <w:shd w:fill="EEF2F8" w:val="clear"/>
        <w:spacing w:after="30" w:before="30"/>
        <w:ind w:left="360" w:right="360"/>
      </w:pPr>
      <w:r>
        <w:rPr>
          <w:rFonts w:ascii="Courier New" w:cs="Courier New" w:eastAsia="Courier New" w:hAnsi="Courier New"/>
          <w:color w:val="1A3A6B"/>
          <w:sz w:val="18"/>
          <w:szCs w:val="18"/>
        </w:rPr>
        <w:t xml:space="preserve">client = chromadb.PersistentClient(</w:t>
      </w:r>
    </w:p>
    <w:p>
      <w:pPr>
        <w:shd w:fill="EEF2F8" w:val="clear"/>
        <w:spacing w:after="30" w:before="30"/>
        <w:ind w:left="360" w:right="360"/>
      </w:pPr>
      <w:r>
        <w:rPr>
          <w:rFonts w:ascii="Courier New" w:cs="Courier New" w:eastAsia="Courier New" w:hAnsi="Courier New"/>
          <w:color w:val="1A3A6B"/>
          <w:sz w:val="18"/>
          <w:szCs w:val="18"/>
        </w:rPr>
        <w:t xml:space="preserve">    path='./chroma_data',</w:t>
      </w:r>
    </w:p>
    <w:p>
      <w:pPr>
        <w:shd w:fill="EEF2F8" w:val="clear"/>
        <w:spacing w:after="30" w:before="30"/>
        <w:ind w:left="360" w:right="360"/>
      </w:pPr>
      <w:r>
        <w:rPr>
          <w:rFonts w:ascii="Courier New" w:cs="Courier New" w:eastAsia="Courier New" w:hAnsi="Courier New"/>
          <w:color w:val="1A3A6B"/>
          <w:sz w:val="18"/>
          <w:szCs w:val="18"/>
        </w:rPr>
        <w:t xml:space="preserve">    settings=Settings(anonymized_telemetry=False)</w:t>
      </w:r>
    </w:p>
    <w:p>
      <w:pPr>
        <w:shd w:fill="EEF2F8" w:val="clear"/>
        <w:spacing w:after="30" w:before="30"/>
        <w:ind w:left="360" w:right="360"/>
      </w:pPr>
      <w:r>
        <w:rPr>
          <w:rFonts w:ascii="Courier New" w:cs="Courier New" w:eastAsia="Courier New" w:hAnsi="Courier New"/>
          <w:color w:val="1A3A6B"/>
          <w:sz w:val="18"/>
          <w:szCs w:val="18"/>
        </w:rPr>
        <w:t xml:space="preserve">)</w:t>
      </w:r>
    </w:p>
    <w:p>
      <w:pPr>
        <w:shd w:fill="EEF2F8" w:val="clear"/>
        <w:spacing w:after="30" w:before="30"/>
        <w:ind w:left="360" w:right="360"/>
      </w:pPr>
      <w:r>
        <w:rPr>
          <w:rFonts w:ascii="Courier New" w:cs="Courier New" w:eastAsia="Courier New" w:hAnsi="Courier New"/>
          <w:color w:val="1A3A6B"/>
          <w:sz w:val="18"/>
          <w:szCs w:val="18"/>
        </w:rPr>
        <w:t xml:space="preserve">collection = client.get_or_create_collection(</w:t>
      </w:r>
    </w:p>
    <w:p>
      <w:pPr>
        <w:shd w:fill="EEF2F8" w:val="clear"/>
        <w:spacing w:after="30" w:before="30"/>
        <w:ind w:left="360" w:right="360"/>
      </w:pPr>
      <w:r>
        <w:rPr>
          <w:rFonts w:ascii="Courier New" w:cs="Courier New" w:eastAsia="Courier New" w:hAnsi="Courier New"/>
          <w:color w:val="1A3A6B"/>
          <w:sz w:val="18"/>
          <w:szCs w:val="18"/>
        </w:rPr>
        <w:t xml:space="preserve">    name='enterprise_rag',</w:t>
      </w:r>
    </w:p>
    <w:p>
      <w:pPr>
        <w:shd w:fill="EEF2F8" w:val="clear"/>
        <w:spacing w:after="30" w:before="30"/>
        <w:ind w:left="360" w:right="360"/>
      </w:pPr>
      <w:r>
        <w:rPr>
          <w:rFonts w:ascii="Courier New" w:cs="Courier New" w:eastAsia="Courier New" w:hAnsi="Courier New"/>
          <w:color w:val="1A3A6B"/>
          <w:sz w:val="18"/>
          <w:szCs w:val="18"/>
        </w:rPr>
        <w:t xml:space="preserve">    metadata={'hnsw:space': 'cosine'}  ← cosine similarity metric</w:t>
      </w:r>
    </w:p>
    <w:p>
      <w:pPr>
        <w:shd w:fill="EEF2F8" w:val="clear"/>
        <w:spacing w:after="30" w:before="30"/>
        <w:ind w:left="360" w:right="360"/>
      </w:pPr>
      <w:r>
        <w:rPr>
          <w:rFonts w:ascii="Courier New" w:cs="Courier New" w:eastAsia="Courier New" w:hAnsi="Courier New"/>
          <w:color w:val="1A3A6B"/>
          <w:sz w:val="18"/>
          <w:szCs w:val="18"/>
        </w:rPr>
        <w:t xml:space="preserve">)</w:t>
      </w:r>
    </w:p>
    <w:p>
      <w:pPr>
        <w:spacing w:after="60" w:before="80"/>
      </w:pPr>
    </w:p>
    <w:p>
      <w:pPr>
        <w:spacing w:after="80" w:before="180"/>
      </w:pPr>
      <w:r>
        <w:rPr>
          <w:rFonts w:ascii="Arial" w:cs="Arial" w:eastAsia="Arial" w:hAnsi="Arial"/>
          <w:b/>
          <w:bCs/>
          <w:color w:val="2E5FA3"/>
          <w:sz w:val="24"/>
          <w:szCs w:val="24"/>
        </w:rPr>
        <w:t xml:space="preserve">Persistence Strategy</w:t>
      </w:r>
    </w:p>
    <w:p>
      <w:pPr>
        <w:spacing w:after="80" w:before="60"/>
        <w:jc w:val="both"/>
      </w:pPr>
      <w:r>
        <w:rPr>
          <w:rFonts w:ascii="Arial" w:cs="Arial" w:eastAsia="Arial" w:hAnsi="Arial"/>
          <w:color w:val="2D2D2D"/>
          <w:sz w:val="22"/>
          <w:szCs w:val="22"/>
        </w:rPr>
        <w:t xml:space="preserve">ChromaDB is configured in PersistentClient mode, which writes the HNSW index and all embeddings to disk at ./chroma_data/. This is critical for production use: the vector index survives process restarts, server reboots, and deployments without requiring re-ingestion of all documents. The smoke test verifies this by creating a test collection, deleting it, and confirming ChromaDB initialises without errors.</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4.3  BM25 — Sparse Keyword Retrieval</w:t>
      </w:r>
    </w:p>
    <w:p>
      <w:pPr>
        <w:spacing w:after="80" w:before="60"/>
        <w:jc w:val="both"/>
      </w:pPr>
      <w:r>
        <w:rPr>
          <w:rFonts w:ascii="Arial" w:cs="Arial" w:eastAsia="Arial" w:hAnsi="Arial"/>
          <w:color w:val="2D2D2D"/>
          <w:sz w:val="22"/>
          <w:szCs w:val="22"/>
        </w:rPr>
        <w:t xml:space="preserve">BM25 (Best Matching 25) is a probabilistic ranking algorithm developed in the 1990s that remains one of the most effective keyword-based retrieval methods. Despite its age, it consistently outperforms naive TF-IDF and remains competitive with neural retrieval on exact-match queries.</w:t>
      </w:r>
    </w:p>
    <w:p>
      <w:pPr>
        <w:spacing w:after="60" w:before="60"/>
      </w:pPr>
    </w:p>
    <w:p>
      <w:pPr>
        <w:spacing w:after="80" w:before="60"/>
        <w:jc w:val="both"/>
      </w:pPr>
      <w:r>
        <w:rPr>
          <w:rFonts w:ascii="Arial" w:cs="Arial" w:eastAsia="Arial" w:hAnsi="Arial"/>
          <w:color w:val="2D2D2D"/>
          <w:sz w:val="22"/>
          <w:szCs w:val="22"/>
        </w:rPr>
        <w:t xml:space="preserve">BM25 scores a document relative to a query using term frequency (how often a query term appears in the document), inverse document frequency (how rare the term is across all documents — rare terms are more discriminating), and document length normalisation (long documents are penalised to prevent them from dominating results simply due to size).</w:t>
      </w:r>
    </w:p>
    <w:p>
      <w:pPr>
        <w:spacing w:after="60" w:before="60"/>
      </w:pPr>
    </w:p>
    <w:p>
      <w:pPr>
        <w:spacing w:after="80" w:before="60"/>
        <w:jc w:val="both"/>
      </w:pPr>
      <w:r>
        <w:rPr>
          <w:rFonts w:ascii="Arial" w:cs="Arial" w:eastAsia="Arial" w:hAnsi="Arial"/>
          <w:color w:val="2D2D2D"/>
          <w:sz w:val="22"/>
          <w:szCs w:val="22"/>
        </w:rPr>
        <w:t xml:space="preserve">In this hybrid architecture, BM25 serves as the sparse retriever. For queries involving specific product names, regulation codes (e.g., ISO-27001, GDPR Article 17), version numbers, or proper nouns, BM25 will outperform dense retrieval because these terms may not have strong semantic representations in the embedding space. The rank_bm25 library implements BM25Okapi — the most widely used BM25 variant — and the index is serialised to disk as a pickle file (bm25_index.pkl) for persistence.</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4.4  sentence-transformers — Cross-Encoder Re-Ranking</w:t>
      </w:r>
    </w:p>
    <w:p>
      <w:pPr>
        <w:spacing w:after="80" w:before="60"/>
        <w:jc w:val="both"/>
      </w:pPr>
      <w:r>
        <w:rPr>
          <w:rFonts w:ascii="Arial" w:cs="Arial" w:eastAsia="Arial" w:hAnsi="Arial"/>
          <w:color w:val="2D2D2D"/>
          <w:sz w:val="22"/>
          <w:szCs w:val="22"/>
        </w:rPr>
        <w:t xml:space="preserve">The cross-encoder re-ranker is the precision layer of the retrieval pipeline. After the hybrid retriever returns the top-20 candidate passages, the cross-encoder re-scores each passage against the query to produce a final ranked list of top-5 results.</w:t>
      </w:r>
    </w:p>
    <w:p>
      <w:pPr>
        <w:spacing w:after="60" w:before="60"/>
      </w:pPr>
    </w:p>
    <w:p>
      <w:pPr>
        <w:spacing w:after="80" w:before="60"/>
        <w:jc w:val="both"/>
      </w:pPr>
      <w:r>
        <w:rPr>
          <w:rFonts w:ascii="Arial" w:cs="Arial" w:eastAsia="Arial" w:hAnsi="Arial"/>
          <w:color w:val="2D2D2D"/>
          <w:sz w:val="22"/>
          <w:szCs w:val="22"/>
        </w:rPr>
        <w:t xml:space="preserve">A bi-encoder (used for initial retrieval) encodes the query and document independently, then computes similarity between the resulting vectors. This is fast but less accurate because the query and document never directly interact during encoding. A cross-encoder takes the query and a candidate document as a joint input to a transformer model, allowing every token in the query to attend to every token in the document — producing a much more precise relevance score at the cost of higher latency.</w:t>
      </w:r>
    </w:p>
    <w:p>
      <w:pPr>
        <w:spacing w:after="60" w:before="60"/>
      </w:pPr>
    </w:p>
    <w:p>
      <w:pPr>
        <w:spacing w:after="80" w:before="60"/>
        <w:jc w:val="both"/>
      </w:pPr>
      <w:r>
        <w:rPr>
          <w:rFonts w:ascii="Arial" w:cs="Arial" w:eastAsia="Arial" w:hAnsi="Arial"/>
          <w:color w:val="2D2D2D"/>
          <w:sz w:val="22"/>
          <w:szCs w:val="22"/>
        </w:rPr>
        <w:t xml:space="preserve">The cross-encoder/ms-marco-MiniLM-L-6-v2 model was selected for this project. It was fine-tuned on the MS MARCO passage retrieval dataset — 8.8 million passages from web documents with human-annotated relevance judgements — making it exceptionally well-suited for enterprise document re-ranking. At 6 transformer layers, it balances accuracy with inference speed, typically processing 20 candidates in under 200 milliseconds on CPU.</w:t>
      </w:r>
    </w:p>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05  |  Ollama &amp; nomic-embed-text — Local Embedding Infrastructure</w:t>
      </w:r>
    </w:p>
    <w:p>
      <w:pPr>
        <w:spacing w:after="60" w:before="100"/>
      </w:pPr>
    </w:p>
    <w:p>
      <w:pPr>
        <w:pStyle w:val="Heading2"/>
        <w:pBdr>
          <w:bottom w:val="single" w:color="4A7EC7" w:sz="4" w:space="2"/>
        </w:pBdr>
        <w:spacing w:after="100" w:before="240"/>
      </w:pPr>
      <w:r>
        <w:rPr>
          <w:rFonts w:ascii="Arial" w:cs="Arial" w:eastAsia="Arial" w:hAnsi="Arial"/>
          <w:b/>
          <w:bCs/>
          <w:color w:val="1B2A4A"/>
          <w:sz w:val="26"/>
          <w:szCs w:val="26"/>
        </w:rPr>
        <w:t xml:space="preserve">5.1  What is Ollama?</w:t>
      </w:r>
    </w:p>
    <w:p>
      <w:pPr>
        <w:spacing w:after="80" w:before="60"/>
        <w:jc w:val="both"/>
      </w:pPr>
      <w:r>
        <w:rPr>
          <w:rFonts w:ascii="Arial" w:cs="Arial" w:eastAsia="Arial" w:hAnsi="Arial"/>
          <w:color w:val="2D2D2D"/>
          <w:sz w:val="22"/>
          <w:szCs w:val="22"/>
        </w:rPr>
        <w:t xml:space="preserve">Ollama is a local AI model serving platform. It packages AI models with their runtime dependencies into a single deployable unit (similar to Docker for containers), exposes them via a REST API on localhost:11434, and handles GPU/CPU inference automatically. Think of it as a miniaturised, self-contained version of the OpenAI API running entirely on your own machine.</w:t>
      </w:r>
    </w:p>
    <w:p>
      <w:pPr>
        <w:spacing w:after="60" w:before="60"/>
      </w:pPr>
    </w:p>
    <w:p>
      <w:pPr>
        <w:spacing w:after="80" w:before="60"/>
        <w:jc w:val="both"/>
      </w:pPr>
      <w:r>
        <w:rPr>
          <w:rFonts w:ascii="Arial" w:cs="Arial" w:eastAsia="Arial" w:hAnsi="Arial"/>
          <w:color w:val="2D2D2D"/>
          <w:sz w:val="22"/>
          <w:szCs w:val="22"/>
        </w:rPr>
        <w:t xml:space="preserve">For this project, Ollama serves one critical function: providing embedding inference. Every document chunk — potentially tens of thousands of them — must be converted into a 768-dimensional vector. Calling the OpenAI Embeddings API at that volume would cost hundreds of dollars and introduce a network dependency. Ollama provides this capability at zero cost, with zero data leaving the machine, and with no rate limits.</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5.2  How Text Embeddings Work</w:t>
      </w:r>
    </w:p>
    <w:p>
      <w:pPr>
        <w:spacing w:after="80" w:before="60"/>
        <w:jc w:val="both"/>
      </w:pPr>
      <w:r>
        <w:rPr>
          <w:rFonts w:ascii="Arial" w:cs="Arial" w:eastAsia="Arial" w:hAnsi="Arial"/>
          <w:color w:val="2D2D2D"/>
          <w:sz w:val="22"/>
          <w:szCs w:val="22"/>
        </w:rPr>
        <w:t xml:space="preserve">An embedding model is a neural network trained to map text into a continuous vector space such that semantically similar texts map to nearby points. The training objective (contrastive learning) rewards the model for pulling similar sentences together and pushing dissimilar ones apart.</w:t>
      </w:r>
    </w:p>
    <w:p>
      <w:pPr>
        <w:spacing w:after="60" w:before="60"/>
      </w:pPr>
    </w:p>
    <w:p>
      <w:pPr>
        <w:spacing w:after="80" w:before="60"/>
        <w:jc w:val="both"/>
      </w:pPr>
      <w:r>
        <w:rPr>
          <w:rFonts w:ascii="Arial" w:cs="Arial" w:eastAsia="Arial" w:hAnsi="Arial"/>
          <w:color w:val="2D2D2D"/>
          <w:sz w:val="22"/>
          <w:szCs w:val="22"/>
        </w:rPr>
        <w:t xml:space="preserve">When you call the embedding API with the text 'What is the company revenue?', the model processes each token through multiple transformer layers, applies attention mechanisms across the full sequence, and produces a final 768-dimensional vector by mean-pooling the last hidden states. This vector is a dense numerical fingerprint of the text's meaning — not its exact words.</w:t>
      </w:r>
    </w:p>
    <w:p>
      <w:pPr>
        <w:spacing w:after="60" w:before="60"/>
      </w:pPr>
    </w:p>
    <w:p>
      <w:pPr>
        <w:spacing w:after="80" w:before="180"/>
      </w:pPr>
      <w:r>
        <w:rPr>
          <w:rFonts w:ascii="Arial" w:cs="Arial" w:eastAsia="Arial" w:hAnsi="Arial"/>
          <w:b/>
          <w:bCs/>
          <w:color w:val="2E5FA3"/>
          <w:sz w:val="24"/>
          <w:szCs w:val="24"/>
        </w:rPr>
        <w:t xml:space="preserve">The Embedding API Call — What Actually Happens</w:t>
      </w:r>
    </w:p>
    <w:p>
      <w:pPr>
        <w:shd w:fill="EEF2F8" w:val="clear"/>
        <w:spacing w:after="30" w:before="30"/>
        <w:ind w:left="360" w:right="360"/>
      </w:pPr>
      <w:r>
        <w:rPr>
          <w:rFonts w:ascii="Courier New" w:cs="Courier New" w:eastAsia="Courier New" w:hAnsi="Courier New"/>
          <w:color w:val="1A3A6B"/>
          <w:sz w:val="18"/>
          <w:szCs w:val="18"/>
        </w:rPr>
        <w:t xml:space="preserve">POST http://localhost:11434/api/embeddings</w:t>
      </w:r>
    </w:p>
    <w:p>
      <w:pPr>
        <w:shd w:fill="EEF2F8" w:val="clear"/>
        <w:spacing w:after="30" w:before="30"/>
        <w:ind w:left="360" w:right="360"/>
      </w:pPr>
      <w:r>
        <w:rPr>
          <w:rFonts w:ascii="Courier New" w:cs="Courier New" w:eastAsia="Courier New" w:hAnsi="Courier New"/>
          <w:color w:val="1A3A6B"/>
          <w:sz w:val="18"/>
          <w:szCs w:val="18"/>
        </w:rPr>
        <w:t xml:space="preserve">{</w:t>
      </w:r>
    </w:p>
    <w:p>
      <w:pPr>
        <w:shd w:fill="EEF2F8" w:val="clear"/>
        <w:spacing w:after="30" w:before="30"/>
        <w:ind w:left="360" w:right="360"/>
      </w:pPr>
      <w:r>
        <w:rPr>
          <w:rFonts w:ascii="Courier New" w:cs="Courier New" w:eastAsia="Courier New" w:hAnsi="Courier New"/>
          <w:color w:val="1A3A6B"/>
          <w:sz w:val="18"/>
          <w:szCs w:val="18"/>
        </w:rPr>
        <w:t xml:space="preserve">  'model': 'nomic-embed-text',</w:t>
      </w:r>
    </w:p>
    <w:p>
      <w:pPr>
        <w:shd w:fill="EEF2F8" w:val="clear"/>
        <w:spacing w:after="30" w:before="30"/>
        <w:ind w:left="360" w:right="360"/>
      </w:pPr>
      <w:r>
        <w:rPr>
          <w:rFonts w:ascii="Courier New" w:cs="Courier New" w:eastAsia="Courier New" w:hAnsi="Courier New"/>
          <w:color w:val="1A3A6B"/>
          <w:sz w:val="18"/>
          <w:szCs w:val="18"/>
        </w:rPr>
        <w:t xml:space="preserve">  'prompt': 'The company reported Q3 revenue of $2.4 billion'</w:t>
      </w:r>
    </w:p>
    <w:p>
      <w:pPr>
        <w:shd w:fill="EEF2F8" w:val="clear"/>
        <w:spacing w:after="30" w:before="30"/>
        <w:ind w:left="360" w:right="360"/>
      </w:pPr>
      <w:r>
        <w:rPr>
          <w:rFonts w:ascii="Courier New" w:cs="Courier New" w:eastAsia="Courier New" w:hAnsi="Courier New"/>
          <w:color w:val="1A3A6B"/>
          <w:sz w:val="18"/>
          <w:szCs w:val="18"/>
        </w:rPr>
        <w:t xml:space="preserve">}</w:t>
      </w:r>
    </w:p>
    <w:p>
      <w:pPr>
        <w:shd w:fill="EEF2F8" w:val="clear"/>
        <w:spacing w:after="30" w:before="30"/>
        <w:ind w:left="360" w:right="360"/>
      </w:pPr>
      <w:r>
        <w:rPr>
          <w:rFonts w:ascii="Courier New" w:cs="Courier New" w:eastAsia="Courier New" w:hAnsi="Courier New"/>
          <w:color w:val="1A3A6B"/>
          <w:sz w:val="18"/>
          <w:szCs w:val="18"/>
        </w:rPr>
        <w:t xml:space="preserve"/>
      </w:r>
    </w:p>
    <w:p>
      <w:pPr>
        <w:shd w:fill="EEF2F8" w:val="clear"/>
        <w:spacing w:after="30" w:before="30"/>
        <w:ind w:left="360" w:right="360"/>
      </w:pPr>
      <w:r>
        <w:rPr>
          <w:rFonts w:ascii="Courier New" w:cs="Courier New" w:eastAsia="Courier New" w:hAnsi="Courier New"/>
          <w:color w:val="1A3A6B"/>
          <w:sz w:val="18"/>
          <w:szCs w:val="18"/>
        </w:rPr>
        <w:t xml:space="preserve">Response:</w:t>
      </w:r>
    </w:p>
    <w:p>
      <w:pPr>
        <w:shd w:fill="EEF2F8" w:val="clear"/>
        <w:spacing w:after="30" w:before="30"/>
        <w:ind w:left="360" w:right="360"/>
      </w:pPr>
      <w:r>
        <w:rPr>
          <w:rFonts w:ascii="Courier New" w:cs="Courier New" w:eastAsia="Courier New" w:hAnsi="Courier New"/>
          <w:color w:val="1A3A6B"/>
          <w:sz w:val="18"/>
          <w:szCs w:val="18"/>
        </w:rPr>
        <w:t xml:space="preserve">{</w:t>
      </w:r>
    </w:p>
    <w:p>
      <w:pPr>
        <w:shd w:fill="EEF2F8" w:val="clear"/>
        <w:spacing w:after="30" w:before="30"/>
        <w:ind w:left="360" w:right="360"/>
      </w:pPr>
      <w:r>
        <w:rPr>
          <w:rFonts w:ascii="Courier New" w:cs="Courier New" w:eastAsia="Courier New" w:hAnsi="Courier New"/>
          <w:color w:val="1A3A6B"/>
          <w:sz w:val="18"/>
          <w:szCs w:val="18"/>
        </w:rPr>
        <w:t xml:space="preserve">  'embedding': [0.0234, -0.1823, 0.0891, ..., 0.0432]  ← 768 floats</w:t>
      </w:r>
    </w:p>
    <w:p>
      <w:pPr>
        <w:shd w:fill="EEF2F8" w:val="clear"/>
        <w:spacing w:after="30" w:before="30"/>
        <w:ind w:left="360" w:right="360"/>
      </w:pPr>
      <w:r>
        <w:rPr>
          <w:rFonts w:ascii="Courier New" w:cs="Courier New" w:eastAsia="Courier New" w:hAnsi="Courier New"/>
          <w:color w:val="1A3A6B"/>
          <w:sz w:val="18"/>
          <w:szCs w:val="18"/>
        </w:rPr>
        <w:t xml:space="preserve">}</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5.3  Why nomic-embed-text Specifically</w:t>
      </w:r>
    </w:p>
    <w:p>
      <w:pPr>
        <w:spacing w:after="80" w:before="60"/>
        <w:jc w:val="both"/>
      </w:pPr>
      <w:r>
        <w:rPr>
          <w:rFonts w:ascii="Arial" w:cs="Arial" w:eastAsia="Arial" w:hAnsi="Arial"/>
          <w:color w:val="2D2D2D"/>
          <w:sz w:val="22"/>
          <w:szCs w:val="22"/>
        </w:rPr>
        <w:t xml:space="preserve">nomic-embed-text was selected after evaluating several local embedding models against four criteria: embedding quality (MTEB benchmark scores), context window length, inference speed on CPU, and model size.</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500"/>
        <w:gridCol w:w="1100"/>
        <w:gridCol w:w="1200"/>
      </w:tblGrid>
      <w:tr>
        <w:tc>
          <w:tcPr>
            <w:tcW w:type="dxa" w:w="24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12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MTEB Score</w:t>
            </w:r>
          </w:p>
        </w:tc>
        <w:tc>
          <w:tcPr>
            <w:tcW w:type="dxa" w:w="18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Context Window</w:t>
            </w:r>
          </w:p>
        </w:tc>
        <w:tc>
          <w:tcPr>
            <w:tcW w:type="dxa" w:w="15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Dimensions</w:t>
            </w:r>
          </w:p>
        </w:tc>
        <w:tc>
          <w:tcPr>
            <w:tcW w:type="dxa" w:w="11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Size</w:t>
            </w:r>
          </w:p>
        </w:tc>
        <w:tc>
          <w:tcPr>
            <w:tcW w:type="dxa" w:w="12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nomic-embed-text</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62.39</w:t>
            </w:r>
          </w:p>
        </w:tc>
        <w:tc>
          <w:tcPr>
            <w:tcW w:type="dxa" w:w="1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8,192 tokens</w:t>
            </w:r>
          </w:p>
        </w:tc>
        <w:tc>
          <w:tcPr>
            <w:tcW w:type="dxa" w:w="15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768</w:t>
            </w:r>
          </w:p>
        </w:tc>
        <w:tc>
          <w:tcPr>
            <w:tcW w:type="dxa" w:w="1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274 MB</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SELECTED</w:t>
            </w:r>
          </w:p>
        </w:tc>
      </w:tr>
      <w:tr>
        <w:tc>
          <w:tcPr>
            <w:tcW w:type="dxa" w:w="2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all-MiniLM-L6-v2</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56.26</w:t>
            </w:r>
          </w:p>
        </w:tc>
        <w:tc>
          <w:tcPr>
            <w:tcW w:type="dxa" w:w="1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512 tokens</w:t>
            </w:r>
          </w:p>
        </w:tc>
        <w:tc>
          <w:tcPr>
            <w:tcW w:type="dxa" w:w="15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384</w:t>
            </w:r>
          </w:p>
        </w:tc>
        <w:tc>
          <w:tcPr>
            <w:tcW w:type="dxa" w:w="11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91 MB</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Context too short</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mxbai-embed-large</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64.68</w:t>
            </w:r>
          </w:p>
        </w:tc>
        <w:tc>
          <w:tcPr>
            <w:tcW w:type="dxa" w:w="1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512 tokens</w:t>
            </w:r>
          </w:p>
        </w:tc>
        <w:tc>
          <w:tcPr>
            <w:tcW w:type="dxa" w:w="15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1024</w:t>
            </w:r>
          </w:p>
        </w:tc>
        <w:tc>
          <w:tcPr>
            <w:tcW w:type="dxa" w:w="1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670 MB</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Context too short</w:t>
            </w:r>
          </w:p>
        </w:tc>
      </w:tr>
      <w:tr>
        <w:tc>
          <w:tcPr>
            <w:tcW w:type="dxa" w:w="2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text-embedding-3-small (OpenAI)</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62.26</w:t>
            </w:r>
          </w:p>
        </w:tc>
        <w:tc>
          <w:tcPr>
            <w:tcW w:type="dxa" w:w="1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8,191 tokens</w:t>
            </w:r>
          </w:p>
        </w:tc>
        <w:tc>
          <w:tcPr>
            <w:tcW w:type="dxa" w:w="15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1536</w:t>
            </w:r>
          </w:p>
        </w:tc>
        <w:tc>
          <w:tcPr>
            <w:tcW w:type="dxa" w:w="11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Cloud API</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Network dependency</w:t>
            </w:r>
          </w:p>
        </w:tc>
      </w:tr>
    </w:tbl>
    <w:p>
      <w:pPr>
        <w:spacing w:after="60" w:before="80"/>
      </w:pPr>
    </w:p>
    <w:p>
      <w:pPr>
        <w:spacing w:after="80" w:before="60"/>
        <w:jc w:val="both"/>
      </w:pPr>
      <w:r>
        <w:rPr>
          <w:rFonts w:ascii="Arial" w:cs="Arial" w:eastAsia="Arial" w:hAnsi="Arial"/>
          <w:color w:val="2D2D2D"/>
          <w:sz w:val="22"/>
          <w:szCs w:val="22"/>
        </w:rPr>
        <w:t xml:space="preserve">The 8,192 token context window is the decisive factor for enterprise use. A typical enterprise document — a legal contract, technical specification, or research report — may contain sections spanning 2,000-4,000 tokens. Models with 512-token limits would truncate these sections, losing critical context. nomic-embed-text handles them entirely.</w:t>
      </w:r>
    </w:p>
    <w:p>
      <w:pPr>
        <w:spacing w:after="60" w:before="80"/>
      </w:pPr>
    </w:p>
    <w:p>
      <w:pPr>
        <w:pStyle w:val="Heading2"/>
        <w:pBdr>
          <w:bottom w:val="single" w:color="4A7EC7" w:sz="4" w:space="2"/>
        </w:pBdr>
        <w:spacing w:after="100" w:before="240"/>
      </w:pPr>
      <w:r>
        <w:rPr>
          <w:rFonts w:ascii="Arial" w:cs="Arial" w:eastAsia="Arial" w:hAnsi="Arial"/>
          <w:b/>
          <w:bCs/>
          <w:color w:val="1B2A4A"/>
          <w:sz w:val="26"/>
          <w:szCs w:val="26"/>
        </w:rPr>
        <w:t xml:space="preserve">5.4  Smoke Test Verification</w:t>
      </w:r>
    </w:p>
    <w:p>
      <w:pPr>
        <w:spacing w:after="80" w:before="60"/>
        <w:jc w:val="both"/>
      </w:pPr>
      <w:r>
        <w:rPr>
          <w:rFonts w:ascii="Arial" w:cs="Arial" w:eastAsia="Arial" w:hAnsi="Arial"/>
          <w:color w:val="2D2D2D"/>
          <w:sz w:val="22"/>
          <w:szCs w:val="22"/>
        </w:rPr>
        <w:t xml:space="preserve">The test_embedding_end_to_end smoke test sends a real inference request to Ollama and verifies three properties: the HTTP response is 200 OK, the response contains an 'embedding' key, and the returned vector has more than 100 dimensions (actual: 768). This confirms the full inference stack is operational — from the REST API layer through the model runtime to the embedding computation.</w:t>
      </w:r>
    </w:p>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06  |  Environment Configuration — The .env Pattern</w:t>
      </w:r>
    </w:p>
    <w:p>
      <w:pPr>
        <w:spacing w:after="60" w:before="100"/>
      </w:pPr>
    </w:p>
    <w:p>
      <w:pPr>
        <w:spacing w:after="80" w:before="60"/>
        <w:jc w:val="both"/>
      </w:pPr>
      <w:r>
        <w:rPr>
          <w:rFonts w:ascii="Arial" w:cs="Arial" w:eastAsia="Arial" w:hAnsi="Arial"/>
          <w:color w:val="2D2D2D"/>
          <w:sz w:val="22"/>
          <w:szCs w:val="22"/>
        </w:rPr>
        <w:t xml:space="preserve">The .env file is a plain-text file of key=value pairs that holds all environment-specific configuration. The python-dotenv library loads these values into Python's os.environ at runtime, making them available via os.getenv(). This pattern comes from the Twelve-Factor App methodology — a set of best practices for building production-grade software-as-a-service applications.</w:t>
      </w:r>
    </w:p>
    <w:p>
      <w:pPr>
        <w:spacing w:after="60" w:before="60"/>
      </w:pPr>
    </w:p>
    <w:p>
      <w:pPr>
        <w:spacing w:after="80" w:before="180"/>
      </w:pPr>
      <w:r>
        <w:rPr>
          <w:rFonts w:ascii="Arial" w:cs="Arial" w:eastAsia="Arial" w:hAnsi="Arial"/>
          <w:b/>
          <w:bCs/>
          <w:color w:val="2E5FA3"/>
          <w:sz w:val="24"/>
          <w:szCs w:val="24"/>
        </w:rPr>
        <w:t xml:space="preserve">Configuration Variables &amp; Their Purpose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700"/>
      </w:tblGrid>
      <w:tr>
        <w:tc>
          <w:tcPr>
            <w:tcW w:type="dxa" w:w="24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19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22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Consumed By</w:t>
            </w:r>
          </w:p>
        </w:tc>
        <w:tc>
          <w:tcPr>
            <w:tcW w:type="dxa" w:w="27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Why Configurable</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OLLAMA_BASE_URL</w:t>
            </w:r>
          </w:p>
        </w:tc>
        <w:tc>
          <w:tcPr>
            <w:tcW w:type="dxa" w:w="1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http://localhost:11434</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nomic_embedder.py</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Changes to a cloud URL in production</w:t>
            </w:r>
          </w:p>
        </w:tc>
      </w:tr>
      <w:tr>
        <w:tc>
          <w:tcPr>
            <w:tcW w:type="dxa" w:w="2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EMBED_MODEL</w:t>
            </w:r>
          </w:p>
        </w:tc>
        <w:tc>
          <w:tcPr>
            <w:tcW w:type="dxa" w:w="1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nomic-embed-text</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nomic_embedder.py</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Swap embedding model without code change</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EMBED_BATCH_SIZE</w:t>
            </w:r>
          </w:p>
        </w:tc>
        <w:tc>
          <w:tcPr>
            <w:tcW w:type="dxa" w:w="1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32</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nomic_embedder.py</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Tune throughput vs. memory trade-off</w:t>
            </w:r>
          </w:p>
        </w:tc>
      </w:tr>
      <w:tr>
        <w:tc>
          <w:tcPr>
            <w:tcW w:type="dxa" w:w="2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CHROMA_PATH</w:t>
            </w:r>
          </w:p>
        </w:tc>
        <w:tc>
          <w:tcPr>
            <w:tcW w:type="dxa" w:w="1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./chroma_data</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chroma_adapter.py</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Redirect to mounted volume in containers</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CHROMA_COLLECTION</w:t>
            </w:r>
          </w:p>
        </w:tc>
        <w:tc>
          <w:tcPr>
            <w:tcW w:type="dxa" w:w="1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enterprise_rag</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chroma_adapter.py</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Support multi-tenant collections</w:t>
            </w:r>
          </w:p>
        </w:tc>
      </w:tr>
      <w:tr>
        <w:tc>
          <w:tcPr>
            <w:tcW w:type="dxa" w:w="2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BM25_INDEX_PATH</w:t>
            </w:r>
          </w:p>
        </w:tc>
        <w:tc>
          <w:tcPr>
            <w:tcW w:type="dxa" w:w="1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./bm25_index.pkl</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bm25_indexer.py</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Redirect to shared storage in clusters</w:t>
            </w:r>
          </w:p>
        </w:tc>
      </w:tr>
      <w:tr>
        <w:tc>
          <w:tcPr>
            <w:tcW w:type="dxa" w:w="2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LOG_LEVEL</w:t>
            </w:r>
          </w:p>
        </w:tc>
        <w:tc>
          <w:tcPr>
            <w:tcW w:type="dxa" w:w="1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INFO</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All modules</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Set DEBUG in development, ERROR in production</w:t>
            </w:r>
          </w:p>
        </w:tc>
      </w:tr>
    </w:tbl>
    <w:p>
      <w:pPr>
        <w:spacing w:after="6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SECURITY NOTE</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The .env file is explicitly excluded from git via .gitignore. This prevents credentials, API keys, and environment-specific URLs from being committed to version control — a common source of security breaches. The .env.template file (which is committed) shows the required variables without their values, enabling new developers to configure the project without exposing secrets.</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07  |  Smoke Test Suite — Infrastructure Verification</w:t>
      </w:r>
    </w:p>
    <w:p>
      <w:pPr>
        <w:spacing w:after="60" w:before="100"/>
      </w:pPr>
    </w:p>
    <w:p>
      <w:pPr>
        <w:spacing w:after="80" w:before="60"/>
        <w:jc w:val="both"/>
      </w:pPr>
      <w:r>
        <w:rPr>
          <w:rFonts w:ascii="Arial" w:cs="Arial" w:eastAsia="Arial" w:hAnsi="Arial"/>
          <w:color w:val="2D2D2D"/>
          <w:sz w:val="22"/>
          <w:szCs w:val="22"/>
        </w:rPr>
        <w:t xml:space="preserve">Smoke testing is the practice of running a minimal set of tests immediately after a build or setup to verify that the fundamental infrastructure is operational. The term originates from hardware engineering — you power on a new circuit board and check whether it smokes (fails catastrophically) before proceeding.</w:t>
      </w:r>
    </w:p>
    <w:p>
      <w:pPr>
        <w:spacing w:after="60" w:before="60"/>
      </w:pPr>
    </w:p>
    <w:p>
      <w:pPr>
        <w:spacing w:after="80" w:before="60"/>
        <w:jc w:val="both"/>
      </w:pPr>
      <w:r>
        <w:rPr>
          <w:rFonts w:ascii="Arial" w:cs="Arial" w:eastAsia="Arial" w:hAnsi="Arial"/>
          <w:color w:val="2D2D2D"/>
          <w:sz w:val="22"/>
          <w:szCs w:val="22"/>
        </w:rPr>
        <w:t xml:space="preserve">In software, smoke tests are not about correctness of business logic — that is the domain of unit and integration tests. Smoke tests answer a single binary question: 'Is the environment ready to run this system?' All 8 Day 1 smoke tests passed, confirming readiness to proceed to Day 2 parser development.</w:t>
      </w:r>
    </w:p>
    <w:p>
      <w:pPr>
        <w:spacing w:after="6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gridCol w:w="1200"/>
      </w:tblGrid>
      <w:tr>
        <w:tc>
          <w:tcPr>
            <w:tcW w:type="dxa" w:w="28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Test</w:t>
            </w:r>
          </w:p>
        </w:tc>
        <w:tc>
          <w:tcPr>
            <w:tcW w:type="dxa" w:w="26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It Verifies</w:t>
            </w:r>
          </w:p>
        </w:tc>
        <w:tc>
          <w:tcPr>
            <w:tcW w:type="dxa" w:w="26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c>
          <w:tcPr>
            <w:tcW w:type="dxa" w:w="12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Result</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test_python_version</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Python &gt;= 3.10 installed</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Type hints and newer syntax require 3.10+</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test_core_imports</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All 10 packages importable</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Missing package = broken pipeline on Day 2+</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test_env_config</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.env loads &amp; values are correct</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Wrong Ollama URL = 0 embeddings generated</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test_ollama_reachable</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Ollama API returns HTTP 200</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Embedding pipeline cannot function without server</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test_nomic_model_available</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Model pulled &amp; listed by Ollama</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Correct model name prevents silent failures</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test_embedding_end_to_end</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Real 768-dim vector returned</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Confirms full inference stack is operational</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test_chromadb_init</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Collection creates &amp; deletes cleanly</w:t>
            </w:r>
          </w:p>
        </w:tc>
        <w:tc>
          <w:tcPr>
            <w:tcW w:type="dxa" w:w="26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Database corruption caught before data ingestion</w:t>
            </w:r>
          </w:p>
        </w:tc>
        <w:tc>
          <w:tcPr>
            <w:tcW w:type="dxa" w:w="1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PASS</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test_directory_structure</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All 10 required dirs exist</w:t>
            </w:r>
          </w:p>
        </w:tc>
        <w:tc>
          <w:tcPr>
            <w:tcW w:type="dxa" w:w="26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Missing dirs cause FileNotFoundError on Day 2</w:t>
            </w:r>
          </w:p>
        </w:tc>
        <w:tc>
          <w:tcPr>
            <w:tcW w:type="dxa" w:w="1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 PASS</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08  |  Week 1 Execution Roadmap — Day 1 in Context</w:t>
      </w:r>
    </w:p>
    <w:p>
      <w:pPr>
        <w:spacing w:after="60" w:before="100"/>
      </w:pPr>
    </w:p>
    <w:p>
      <w:pPr>
        <w:spacing w:after="80" w:before="60"/>
        <w:jc w:val="both"/>
      </w:pPr>
      <w:r>
        <w:rPr>
          <w:rFonts w:ascii="Arial" w:cs="Arial" w:eastAsia="Arial" w:hAnsi="Arial"/>
          <w:color w:val="2D2D2D"/>
          <w:sz w:val="22"/>
          <w:szCs w:val="22"/>
        </w:rPr>
        <w:t xml:space="preserve">Day 1 is the infrastructure layer. Every subsequent day builds directly on top of what was established today. The following table maps each day to its primary deliverable and its dependency on Day 1 artefacts.</w:t>
      </w:r>
    </w:p>
    <w:p>
      <w:pPr>
        <w:spacing w:after="60" w:before="8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100"/>
        <w:gridCol w:w="2700"/>
      </w:tblGrid>
      <w:tr>
        <w:tc>
          <w:tcPr>
            <w:tcW w:type="dxa" w:w="9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Day</w:t>
            </w:r>
          </w:p>
        </w:tc>
        <w:tc>
          <w:tcPr>
            <w:tcW w:type="dxa" w:w="22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Focus</w:t>
            </w:r>
          </w:p>
        </w:tc>
        <w:tc>
          <w:tcPr>
            <w:tcW w:type="dxa" w:w="31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Primary Deliverable</w:t>
            </w:r>
          </w:p>
        </w:tc>
        <w:tc>
          <w:tcPr>
            <w:tcW w:type="dxa" w:w="27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Day 1 Dependency</w:t>
            </w:r>
          </w:p>
        </w:tc>
      </w:tr>
      <w:tr>
        <w:tc>
          <w:tcPr>
            <w:tcW w:type="dxa" w:w="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Day 1 ✅</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Repo Scaffold &amp; Env</w:t>
            </w:r>
          </w:p>
        </w:tc>
        <w:tc>
          <w:tcPr>
            <w:tcW w:type="dxa" w:w="3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8/8 smoke tests, Ollama running, ChromaDB init</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 Foundation —</w:t>
            </w:r>
          </w:p>
        </w:tc>
      </w:tr>
      <w:tr>
        <w:tc>
          <w:tcPr>
            <w:tcW w:type="dxa" w:w="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Day 2</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Multi-Format Parsers</w:t>
            </w:r>
          </w:p>
        </w:tc>
        <w:tc>
          <w:tcPr>
            <w:tcW w:type="dxa" w:w="31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PDF, DOCX, URL parsers → List[Document]</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ingestion/parsers/ package, .env config</w:t>
            </w:r>
          </w:p>
        </w:tc>
      </w:tr>
      <w:tr>
        <w:tc>
          <w:tcPr>
            <w:tcW w:type="dxa" w:w="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Day 3</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Chunker &amp; Embedder</w:t>
            </w:r>
          </w:p>
        </w:tc>
        <w:tc>
          <w:tcPr>
            <w:tcW w:type="dxa" w:w="3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SentenceSplitter + nomic batch embedder</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Ollama on port 11434, EMBED_BATCH_SIZE .env</w:t>
            </w:r>
          </w:p>
        </w:tc>
      </w:tr>
      <w:tr>
        <w:tc>
          <w:tcPr>
            <w:tcW w:type="dxa" w:w="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Day 4</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ChromaDB Dense Store</w:t>
            </w:r>
          </w:p>
        </w:tc>
        <w:tc>
          <w:tcPr>
            <w:tcW w:type="dxa" w:w="31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PersistentClient upsert + dedup adapter</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chroma_data/ dir, CHROMA_PATH .env</w:t>
            </w:r>
          </w:p>
        </w:tc>
      </w:tr>
      <w:tr>
        <w:tc>
          <w:tcPr>
            <w:tcW w:type="dxa" w:w="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Day 5</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BM25 Sparse Index</w:t>
            </w:r>
          </w:p>
        </w:tc>
        <w:tc>
          <w:tcPr>
            <w:tcW w:type="dxa" w:w="3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BM25Okapi index serialised to disk</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BM25_INDEX_PATH .env, rank_bm25 installed</w:t>
            </w:r>
          </w:p>
        </w:tc>
      </w:tr>
      <w:tr>
        <w:tc>
          <w:tcPr>
            <w:tcW w:type="dxa" w:w="9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Day 6</w:t>
            </w:r>
          </w:p>
        </w:tc>
        <w:tc>
          <w:tcPr>
            <w:tcW w:type="dxa" w:w="22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Cross-Encoder Re-ranker</w:t>
            </w:r>
          </w:p>
        </w:tc>
        <w:tc>
          <w:tcPr>
            <w:tcW w:type="dxa" w:w="31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ms-marco-MiniLM reranker module</w:t>
            </w:r>
          </w:p>
        </w:tc>
        <w:tc>
          <w:tcPr>
            <w:tcW w:type="dxa" w:w="27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sentence-transformers installed</w:t>
            </w:r>
          </w:p>
        </w:tc>
      </w:tr>
      <w:tr>
        <w:tc>
          <w:tcPr>
            <w:tcW w:type="dxa" w:w="9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Day 7</w:t>
            </w:r>
          </w:p>
        </w:tc>
        <w:tc>
          <w:tcPr>
            <w:tcW w:type="dxa" w:w="22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CLI + Eval + README</w:t>
            </w:r>
          </w:p>
        </w:tc>
        <w:tc>
          <w:tcPr>
            <w:tcW w:type="dxa" w:w="31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ingestion CLI, 50Q gold-set pytest, README</w:t>
            </w:r>
          </w:p>
        </w:tc>
        <w:tc>
          <w:tcPr>
            <w:tcW w:type="dxa" w:w="27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All Day 1 directories and packages</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09  |  Architectural Decisions &amp; Engineering Rationale</w:t>
      </w:r>
    </w:p>
    <w:p>
      <w:pPr>
        <w:spacing w:after="60" w:before="100"/>
      </w:pPr>
    </w:p>
    <w:p>
      <w:pPr>
        <w:spacing w:after="80" w:before="180"/>
      </w:pPr>
      <w:r>
        <w:rPr>
          <w:rFonts w:ascii="Arial" w:cs="Arial" w:eastAsia="Arial" w:hAnsi="Arial"/>
          <w:b/>
          <w:bCs/>
          <w:color w:val="2E5FA3"/>
          <w:sz w:val="24"/>
          <w:szCs w:val="24"/>
        </w:rPr>
        <w:t xml:space="preserve">Decision 1: Local-First Infrastructure</w:t>
      </w:r>
    </w:p>
    <w:p>
      <w:pPr>
        <w:spacing w:after="80" w:before="60"/>
        <w:jc w:val="both"/>
      </w:pPr>
      <w:r>
        <w:rPr>
          <w:rFonts w:ascii="Arial" w:cs="Arial" w:eastAsia="Arial" w:hAnsi="Arial"/>
          <w:color w:val="2D2D2D"/>
          <w:sz w:val="22"/>
          <w:szCs w:val="22"/>
        </w:rPr>
        <w:t xml:space="preserve">All components (Ollama, ChromaDB, BM25) run locally without cloud dependencies. This means zero cost during development, no network latency on embedding calls, complete data privacy (enterprise documents never leave the machine), and the ability to work offline. The .env pattern ensures a clean migration path to cloud services in production by changing OLLAMA_BASE_URL without touching application code.</w:t>
      </w:r>
    </w:p>
    <w:p>
      <w:pPr>
        <w:spacing w:after="60" w:before="80"/>
      </w:pPr>
    </w:p>
    <w:p>
      <w:pPr>
        <w:spacing w:after="80" w:before="180"/>
      </w:pPr>
      <w:r>
        <w:rPr>
          <w:rFonts w:ascii="Arial" w:cs="Arial" w:eastAsia="Arial" w:hAnsi="Arial"/>
          <w:b/>
          <w:bCs/>
          <w:color w:val="2E5FA3"/>
          <w:sz w:val="24"/>
          <w:szCs w:val="24"/>
        </w:rPr>
        <w:t xml:space="preserve">Decision 2: Hybrid Retrieval Architecture from Day 1</w:t>
      </w:r>
    </w:p>
    <w:p>
      <w:pPr>
        <w:spacing w:after="80" w:before="60"/>
        <w:jc w:val="both"/>
      </w:pPr>
      <w:r>
        <w:rPr>
          <w:rFonts w:ascii="Arial" w:cs="Arial" w:eastAsia="Arial" w:hAnsi="Arial"/>
          <w:color w:val="2D2D2D"/>
          <w:sz w:val="22"/>
          <w:szCs w:val="22"/>
        </w:rPr>
        <w:t xml:space="preserve">The directory structure was designed on Day 1 to accommodate hybrid retrieval — both retrieval/vector_store/ and retrieval/bm25/ were created before a single line of retrieval code was written. This upfront structural commitment ensures the Week 2 HybridRetriever can import from both modules without requiring refactoring. Architecture decisions made late are expensive; made early, they are free.</w:t>
      </w:r>
    </w:p>
    <w:p>
      <w:pPr>
        <w:spacing w:after="60" w:before="80"/>
      </w:pPr>
    </w:p>
    <w:p>
      <w:pPr>
        <w:spacing w:after="80" w:before="180"/>
      </w:pPr>
      <w:r>
        <w:rPr>
          <w:rFonts w:ascii="Arial" w:cs="Arial" w:eastAsia="Arial" w:hAnsi="Arial"/>
          <w:b/>
          <w:bCs/>
          <w:color w:val="2E5FA3"/>
          <w:sz w:val="24"/>
          <w:szCs w:val="24"/>
        </w:rPr>
        <w:t xml:space="preserve">Decision 3: Interface Contracts Over Implementation</w:t>
      </w:r>
    </w:p>
    <w:p>
      <w:pPr>
        <w:spacing w:after="80" w:before="60"/>
        <w:jc w:val="both"/>
      </w:pPr>
      <w:r>
        <w:rPr>
          <w:rFonts w:ascii="Arial" w:cs="Arial" w:eastAsia="Arial" w:hAnsi="Arial"/>
          <w:color w:val="2D2D2D"/>
          <w:sz w:val="22"/>
          <w:szCs w:val="22"/>
        </w:rPr>
        <w:t xml:space="preserve">The Week 2 integration interface contracts were defined on Day 1 (in the proposal document), not Day 7. chroma_adapter.query(embedding, top_k=20), bm25_indexer.query(text, top_k=20), and cross_encoder.rerank(query, docs, top_k=5) are the frozen method signatures that Week 2 will consume without modification. This prevents the most common integration failure in multi-week projects: interface drift.</w:t>
      </w:r>
    </w:p>
    <w:p>
      <w:pPr>
        <w:spacing w:after="60" w:before="80"/>
      </w:pPr>
    </w:p>
    <w:p>
      <w:pPr>
        <w:spacing w:after="80" w:before="180"/>
      </w:pPr>
      <w:r>
        <w:rPr>
          <w:rFonts w:ascii="Arial" w:cs="Arial" w:eastAsia="Arial" w:hAnsi="Arial"/>
          <w:b/>
          <w:bCs/>
          <w:color w:val="2E5FA3"/>
          <w:sz w:val="24"/>
          <w:szCs w:val="24"/>
        </w:rPr>
        <w:t xml:space="preserve">Decision 4: Smoke Tests Before Code</w:t>
      </w:r>
    </w:p>
    <w:p>
      <w:pPr>
        <w:spacing w:after="80" w:before="60"/>
        <w:jc w:val="both"/>
      </w:pPr>
      <w:r>
        <w:rPr>
          <w:rFonts w:ascii="Arial" w:cs="Arial" w:eastAsia="Arial" w:hAnsi="Arial"/>
          <w:color w:val="2D2D2D"/>
          <w:sz w:val="22"/>
          <w:szCs w:val="22"/>
        </w:rPr>
        <w:t xml:space="preserve">Writing the smoke test suite before Day 2 parser development enforces a discipline of verified infrastructure. It is far cheaper to discover that Ollama is not running or that ChromaDB cannot initialise at the start of Day 2 (caught by the smoke test in 14 seconds) than to discover it buried in a parser error after writing 200 lines of code. Smoke tests are an investment in development velocity.</w:t>
      </w:r>
    </w:p>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10  |  Interview Reference — Key Soundbites</w:t>
      </w:r>
    </w:p>
    <w:p>
      <w:pPr>
        <w:spacing w:after="60" w:before="100"/>
      </w:pPr>
    </w:p>
    <w:p>
      <w:pPr>
        <w:spacing w:after="80" w:before="60"/>
        <w:jc w:val="both"/>
      </w:pPr>
      <w:r>
        <w:rPr>
          <w:rFonts w:ascii="Arial" w:cs="Arial" w:eastAsia="Arial" w:hAnsi="Arial"/>
          <w:color w:val="2D2D2D"/>
          <w:sz w:val="22"/>
          <w:szCs w:val="22"/>
        </w:rPr>
        <w:t xml:space="preserve">The following statements are technically precise, professionally framed, and directly reference the work completed on Day 1. Each can be used verbatim or adapted in a technical interview context.</w:t>
      </w:r>
    </w:p>
    <w:p>
      <w:pPr>
        <w:spacing w:after="6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 RAG</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RAG decouples knowledge from model weights. Rather than fine-tuning a model every time the knowledge base changes — an expensive, time-consuming process — we maintain a separately updated vector index that the model queries at inference time. This makes the knowledge instantly updatable and the system auditable, since every answer traces back to a retrieved source passage.</w:t>
            </w:r>
          </w:p>
        </w:tc>
      </w:tr>
    </w:tbl>
    <w:p>
      <w:pPr>
        <w:spacing w:after="6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 HYBRID RETRIEVAL</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Dense retrieval captures semantic similarity but struggles with exact terminology — a query for 'ISO-27001' may not retrieve passages that use that exact string. BM25 captures exact keyword matches but misses paraphrased meaning. Hybrid retrieval with cross-encoder re-ranking gives us the best of both: semantic understanding plus terminological precision. On enterprise document collections, this consistently delivers Recall@5 improvements of 8 to 15 percentage points over single-retriever approaches.</w:t>
            </w:r>
          </w:p>
        </w:tc>
      </w:tr>
    </w:tbl>
    <w:p>
      <w:pPr>
        <w:spacing w:after="6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 EMBEDDINGS</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An embedding is a projection of text into a continuous vector space where proximity encodes semantic similarity. We use nomic-embed-text via Ollama for local, zero-cost inference with an 8,192 token context window — critical for enterprise documents that routinely exceed the 512-token limit of smaller models. The 768-dimensional output vectors are stored in ChromaDB with cosine distance as the similarity metric.</w:t>
            </w:r>
          </w:p>
        </w:tc>
      </w:tr>
    </w:tbl>
    <w:p>
      <w:pPr>
        <w:spacing w:after="6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 ARCHITECTURE</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I designed the monorepo with explicit separation between ingestion and retrieval domains from day one. The interface contracts between modules were defined before implementation began — the chroma_adapter.query() and bm25_indexer.query() method signatures are frozen specifications that Week 2 consumes without modification. This prevents interface drift, which is the most common cause of integration failure in multi-sprint AI projects.</w:t>
            </w:r>
          </w:p>
        </w:tc>
      </w:tr>
    </w:tbl>
    <w:p>
      <w:pPr>
        <w:spacing w:after="6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shd w:fill="2E5FA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 TESTING</w:t>
            </w:r>
          </w:p>
        </w:tc>
        <w:tc>
          <w:tcPr>
            <w:tcW w:type="dxa" w:w="8100"/>
            <w:shd w:fill="E8F0FB" w:val="clear"/>
            <w:tcMar>
              <w:top w:type="dxa" w:w="100"/>
              <w:left w:type="dxa" w:w="200"/>
              <w:bottom w:type="dxa" w:w="100"/>
              <w:right w:type="dxa" w:w="200"/>
            </w:tcMar>
          </w:tcPr>
          <w:p>
            <w:pPr>
              <w:jc w:val="both"/>
            </w:pPr>
            <w:r>
              <w:rPr>
                <w:rFonts w:ascii="Arial" w:cs="Arial" w:eastAsia="Arial" w:hAnsi="Arial"/>
                <w:color w:val="2D2D2D"/>
                <w:sz w:val="21"/>
                <w:szCs w:val="21"/>
              </w:rPr>
              <w:t xml:space="preserve">The 8-test smoke suite runs in 14 seconds and verifies the entire infrastructure stack from Python version through to a live embedding inference call returning a 768-dimensional vector. I wrote these tests before Day 2 code because discovering infrastructure failures early — before building logic on top of broken foundations — is the highest-leverage investment in development velocity.</w:t>
            </w:r>
          </w:p>
        </w:tc>
      </w:tr>
    </w:tbl>
    <w:p>
      <w:pPr>
        <w:spacing w:after="60" w:before="200"/>
      </w:pPr>
    </w:p>
    <w:p>
      <w:pPr>
        <w:pStyle w:val="Heading1"/>
        <w:shd w:fill="1B2A4A" w:val="clear"/>
        <w:spacing w:after="120" w:before="320"/>
        <w:ind w:left="200" w:right="200"/>
      </w:pPr>
      <w:r>
        <w:rPr>
          <w:rFonts w:ascii="Arial" w:cs="Arial" w:eastAsia="Arial" w:hAnsi="Arial"/>
          <w:b/>
          <w:bCs/>
          <w:color w:val="FFFFFF"/>
          <w:sz w:val="30"/>
          <w:szCs w:val="30"/>
        </w:rPr>
        <w:t xml:space="preserve">11  |  Technical Glossary</w:t>
      </w:r>
    </w:p>
    <w:p>
      <w:pPr>
        <w:spacing w:after="6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400"/>
            <w:tcBorders>
              <w:top w:val="single" w:color="BFCFE8" w:sz="1"/>
              <w:left w:val="single" w:color="BFCFE8" w:sz="1"/>
              <w:bottom w:val="single" w:color="BFCFE8" w:sz="1"/>
              <w:right w:val="single" w:color="BFCFE8"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RAG</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Retrieval-Augmented Generation. An AI architecture that augments LLM generation with retrieved external knowledge.</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Embedding</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 dense numerical vector representation of text that encodes semantic meaning. Produced by an embedding model.</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Vector Database</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 database optimised for storing and searching high-dimensional vectors. Uses ANN algorithms for sub-linear search.</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Cosine Similarity</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 measure of the angle between two vectors. Used to quantify semantic similarity between embeddings. Range: -1 to 1.</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BM25</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Best Matching 25. A probabilistic ranking algorithm for keyword-based retrieval. Combines TF, IDF, and length normalisation.</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Cross-Encoder</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 transformer model that jointly encodes a query-document pair to produce a precise relevance score. Used for re-ranking.</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HNSW</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Hierarchical Navigable Small World. A graph-based ANN algorithm used by ChromaDB for fast vector search.</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Recall@5</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The fraction of relevant documents that appear in the top-5 retrieved results. Target: &gt;= 0.75.</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Precision@5</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fraction of the top-5 retrieved results that are actually relevant. Target: &gt;= 0.70.</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Monorepo</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 single repository containing multiple related projects or modules with shared tooling and dependencies.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Virtual Environment</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An isolated Python installation with its own packages, preventing dependency conflicts between projects.</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12-Factor App</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A methodology for building production-grade SaaS applications. Factor III: Store config in environment variables.</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Smoke Test</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 minimal test verifying that a system's fundamental infrastructure is operational, run immediately after setup.</w:t>
            </w:r>
          </w:p>
        </w:tc>
      </w:tr>
      <w:tr>
        <w:tc>
          <w:tcPr>
            <w:tcW w:type="dxa" w:w="28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TextNode</w:t>
            </w:r>
          </w:p>
        </w:tc>
        <w:tc>
          <w:tcPr>
            <w:tcW w:type="dxa" w:w="6400"/>
            <w:tcBorders>
              <w:top w:val="single" w:color="BFCFE8" w:sz="1"/>
              <w:left w:val="single" w:color="BFCFE8" w:sz="1"/>
              <w:bottom w:val="single" w:color="BFCFE8" w:sz="1"/>
              <w:right w:val="single" w:color="BFCFE8" w:sz="1"/>
            </w:tcBorders>
            <w:shd w:fill="F5F7FA" w:val="clear"/>
            <w:tcMar>
              <w:top w:type="dxa" w:w="80"/>
              <w:left w:type="dxa" w:w="160"/>
              <w:bottom w:type="dxa" w:w="80"/>
              <w:right w:type="dxa" w:w="160"/>
            </w:tcMar>
          </w:tcPr>
          <w:p>
            <w:r>
              <w:rPr>
                <w:rFonts w:ascii="Arial" w:cs="Arial" w:eastAsia="Arial" w:hAnsi="Arial"/>
                <w:color w:val="2D2D2D"/>
                <w:sz w:val="20"/>
                <w:szCs w:val="20"/>
              </w:rPr>
              <w:t xml:space="preserve">LlamaIndex's core data unit — a chunked text segment with positional metadata, ready for embedding and storage.</w:t>
            </w:r>
          </w:p>
        </w:tc>
      </w:tr>
      <w:tr>
        <w:tc>
          <w:tcPr>
            <w:tcW w:type="dxa" w:w="28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Ollama</w:t>
            </w:r>
          </w:p>
        </w:tc>
        <w:tc>
          <w:tcPr>
            <w:tcW w:type="dxa" w:w="6400"/>
            <w:tcBorders>
              <w:top w:val="single" w:color="BFCFE8" w:sz="1"/>
              <w:left w:val="single" w:color="BFCFE8" w:sz="1"/>
              <w:bottom w:val="single" w:color="BFCFE8" w:sz="1"/>
              <w:right w:val="single" w:color="BFCF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 local AI model serving platform exposing models via REST API on localhost:11434.</w:t>
            </w:r>
          </w:p>
        </w:tc>
      </w:tr>
    </w:tbl>
    <w:p>
      <w:pPr>
        <w:spacing w:after="60" w:before="200"/>
      </w:pPr>
    </w:p>
    <w:p>
      <w:r>
        <w:br w:type="page"/>
      </w:r>
    </w:p>
    <w:p>
      <w:pPr>
        <w:spacing w:after="100" w:before="600"/>
      </w:pPr>
    </w:p>
    <w:p>
      <w:pPr>
        <w:shd w:fill="1B2A4A" w:val="clear"/>
        <w:spacing w:after="0" w:before="0"/>
        <w:jc w:val="center"/>
      </w:pPr>
      <w:r>
        <w:rPr>
          <w:rFonts w:ascii="Arial" w:cs="Arial" w:eastAsia="Arial" w:hAnsi="Arial"/>
          <w:b/>
          <w:bCs/>
          <w:color w:val="FFFFFF"/>
          <w:sz w:val="56"/>
          <w:szCs w:val="56"/>
        </w:rPr>
        <w:t xml:space="preserve">DAY 1 — COMPLETE</w:t>
      </w:r>
    </w:p>
    <w:p>
      <w:pPr>
        <w:shd w:fill="2E5FA3" w:val="clear"/>
        <w:spacing w:after="0" w:before="0"/>
        <w:jc w:val="center"/>
      </w:pPr>
      <w:r>
        <w:rPr>
          <w:rFonts w:ascii="Arial" w:cs="Arial" w:eastAsia="Arial" w:hAnsi="Arial"/>
          <w:color w:val="FFFFFF"/>
          <w:sz w:val="26"/>
          <w:szCs w:val="26"/>
        </w:rPr>
        <w:t xml:space="preserve">8 / 8 Smoke Tests Passing  ·  Infrastructure Verified  ·  Ready for Day 2</w:t>
      </w:r>
    </w:p>
    <w:p>
      <w:pPr>
        <w:spacing w:after="100" w:before="200"/>
      </w:pPr>
    </w:p>
    <w:p>
      <w:pPr>
        <w:spacing w:after="100" w:before="100"/>
        <w:jc w:val="center"/>
      </w:pPr>
      <w:r>
        <w:rPr>
          <w:rFonts w:ascii="Arial" w:cs="Arial" w:eastAsia="Arial" w:hAnsi="Arial"/>
          <w:i/>
          <w:iCs/>
          <w:color w:val="555555"/>
          <w:sz w:val="24"/>
          <w:szCs w:val="24"/>
        </w:rPr>
        <w:t xml:space="preserve">Next: Day 2 — Multi-Format Document Parsers (PDF · DOCX · URL)</w:t>
      </w:r>
    </w:p>
    <w:p>
      <w:pPr>
        <w:pBdr>
          <w:bottom w:val="single" w:color="2E5FA3" w:sz="8" w:space="1"/>
        </w:pBdr>
        <w:spacing w:after="60" w:before="60"/>
      </w:pPr>
    </w:p>
    <w:p>
      <w:pPr>
        <w:spacing w:after="0" w:before="80"/>
        <w:jc w:val="center"/>
      </w:pPr>
      <w:r>
        <w:rPr>
          <w:rFonts w:ascii="Arial" w:cs="Arial" w:eastAsia="Arial" w:hAnsi="Arial"/>
          <w:color w:val="555555"/>
          <w:sz w:val="18"/>
          <w:szCs w:val="18"/>
        </w:rPr>
        <w:t xml:space="preserve">Enterprise AI Research Assistant  |  Week 1 Sprint  |  Parhavi G.V  |  Senior AI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8" w:sz="4" w:space="1"/>
      </w:pBdr>
      <w:jc w:val="right"/>
    </w:pPr>
    <w:r>
      <w:rPr>
        <w:rFonts w:ascii="Arial" w:cs="Arial" w:eastAsia="Arial" w:hAnsi="Arial"/>
        <w:color w:val="555555"/>
        <w:sz w:val="16"/>
        <w:szCs w:val="16"/>
      </w:rPr>
      <w:t xml:space="preserve">Confidential  |  Parhavi G.V  |  Senior AI Engineer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E8" w:sz="4" w:space="1"/>
      </w:pBdr>
      <w:spacing w:after="0"/>
    </w:pPr>
    <w:r>
      <w:rPr>
        <w:rFonts w:ascii="Arial" w:cs="Arial" w:eastAsia="Arial" w:hAnsi="Arial"/>
        <w:color w:val="555555"/>
        <w:sz w:val="16"/>
        <w:szCs w:val="16"/>
      </w:rPr>
      <w:t xml:space="preserve">ENTERPRISE AI RESEARCH ASSISTANT  |  Week 1 Technical Report  |  Day 1: Environment &amp;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2026-04-23T03:48:43.823Z</dcterms:created>
  <dcterms:modified xsi:type="dcterms:W3CDTF">2026-04-23T03:48:43.823Z</dcterms:modified>
</cp:coreProperties>
</file>

<file path=docProps/custom.xml><?xml version="1.0" encoding="utf-8"?>
<Properties xmlns="http://schemas.openxmlformats.org/officeDocument/2006/custom-properties" xmlns:vt="http://schemas.openxmlformats.org/officeDocument/2006/docPropsVTypes"/>
</file>