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BC2B4" w14:textId="1BE4CC20" w:rsidR="008E2143" w:rsidRDefault="00000000">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05D937BB" w14:textId="77777777" w:rsidR="008E2143" w:rsidRDefault="008E2143">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E2143" w14:paraId="7C82632A" w14:textId="77777777">
        <w:trPr>
          <w:jc w:val="center"/>
        </w:trPr>
        <w:tc>
          <w:tcPr>
            <w:tcW w:w="4508" w:type="dxa"/>
          </w:tcPr>
          <w:p w14:paraId="336365B5" w14:textId="77777777" w:rsidR="008E2143" w:rsidRDefault="00000000">
            <w:pPr>
              <w:rPr>
                <w:rFonts w:ascii="Arial" w:eastAsia="Arial" w:hAnsi="Arial" w:cs="Arial"/>
              </w:rPr>
            </w:pPr>
            <w:r>
              <w:rPr>
                <w:rFonts w:ascii="Arial" w:eastAsia="Arial" w:hAnsi="Arial" w:cs="Arial"/>
              </w:rPr>
              <w:t>Team ID</w:t>
            </w:r>
          </w:p>
        </w:tc>
        <w:tc>
          <w:tcPr>
            <w:tcW w:w="4843" w:type="dxa"/>
          </w:tcPr>
          <w:p w14:paraId="0741A5CD" w14:textId="33DB23DC" w:rsidR="008E2143" w:rsidRDefault="00E86E76">
            <w:pPr>
              <w:rPr>
                <w:rFonts w:ascii="Arial" w:eastAsia="Arial" w:hAnsi="Arial" w:cs="Arial"/>
              </w:rPr>
            </w:pPr>
            <w:r>
              <w:rPr>
                <w:rFonts w:ascii="Arial" w:eastAsia="Arial" w:hAnsi="Arial" w:cs="Arial"/>
              </w:rPr>
              <w:t>MCA</w:t>
            </w:r>
          </w:p>
        </w:tc>
      </w:tr>
      <w:tr w:rsidR="008E2143" w14:paraId="2F60C50C" w14:textId="77777777">
        <w:trPr>
          <w:jc w:val="center"/>
        </w:trPr>
        <w:tc>
          <w:tcPr>
            <w:tcW w:w="4508" w:type="dxa"/>
          </w:tcPr>
          <w:p w14:paraId="31233D37" w14:textId="77777777" w:rsidR="008E2143" w:rsidRDefault="00000000">
            <w:pPr>
              <w:rPr>
                <w:rFonts w:ascii="Arial" w:eastAsia="Arial" w:hAnsi="Arial" w:cs="Arial"/>
              </w:rPr>
            </w:pPr>
            <w:r>
              <w:rPr>
                <w:rFonts w:ascii="Arial" w:eastAsia="Arial" w:hAnsi="Arial" w:cs="Arial"/>
              </w:rPr>
              <w:t>Project Name</w:t>
            </w:r>
          </w:p>
        </w:tc>
        <w:tc>
          <w:tcPr>
            <w:tcW w:w="4843" w:type="dxa"/>
          </w:tcPr>
          <w:p w14:paraId="2FF043AB" w14:textId="77777777" w:rsidR="008E2143" w:rsidRDefault="00000000">
            <w:pPr>
              <w:rPr>
                <w:rFonts w:ascii="Arial" w:eastAsia="Arial" w:hAnsi="Arial" w:cs="Arial"/>
              </w:rPr>
            </w:pPr>
            <w:r>
              <w:rPr>
                <w:rFonts w:ascii="Arial" w:eastAsia="Arial" w:hAnsi="Arial" w:cs="Arial"/>
              </w:rPr>
              <w:t>Online Education Analytics Dashboard: Student Performance, Engagement &amp; Dropout Analysis</w:t>
            </w:r>
          </w:p>
        </w:tc>
      </w:tr>
      <w:tr w:rsidR="008E2143" w14:paraId="1CADB02B" w14:textId="77777777">
        <w:trPr>
          <w:jc w:val="center"/>
        </w:trPr>
        <w:tc>
          <w:tcPr>
            <w:tcW w:w="4508" w:type="dxa"/>
          </w:tcPr>
          <w:p w14:paraId="2E74339A" w14:textId="77777777" w:rsidR="008E2143" w:rsidRDefault="00000000">
            <w:pPr>
              <w:rPr>
                <w:rFonts w:ascii="Arial" w:eastAsia="Arial" w:hAnsi="Arial" w:cs="Arial"/>
              </w:rPr>
            </w:pPr>
            <w:r>
              <w:rPr>
                <w:rFonts w:ascii="Arial" w:eastAsia="Arial" w:hAnsi="Arial" w:cs="Arial"/>
              </w:rPr>
              <w:t>Maximum Marks</w:t>
            </w:r>
          </w:p>
        </w:tc>
        <w:tc>
          <w:tcPr>
            <w:tcW w:w="4843" w:type="dxa"/>
          </w:tcPr>
          <w:p w14:paraId="3AEC7768" w14:textId="77777777" w:rsidR="008E2143" w:rsidRDefault="00000000">
            <w:pPr>
              <w:rPr>
                <w:rFonts w:ascii="Arial" w:eastAsia="Arial" w:hAnsi="Arial" w:cs="Arial"/>
              </w:rPr>
            </w:pPr>
            <w:r>
              <w:rPr>
                <w:rFonts w:ascii="Arial" w:eastAsia="Arial" w:hAnsi="Arial" w:cs="Arial"/>
              </w:rPr>
              <w:t>5 Marks</w:t>
            </w:r>
          </w:p>
        </w:tc>
      </w:tr>
    </w:tbl>
    <w:p w14:paraId="4E4C1DDD" w14:textId="77777777" w:rsidR="008E2143" w:rsidRDefault="008E2143">
      <w:pPr>
        <w:rPr>
          <w:rFonts w:ascii="Cambria" w:eastAsia="Cambria" w:hAnsi="Cambria" w:cs="Cambria"/>
          <w:color w:val="000000"/>
          <w:sz w:val="24"/>
          <w:szCs w:val="24"/>
          <w:highlight w:val="white"/>
        </w:rPr>
      </w:pPr>
    </w:p>
    <w:p w14:paraId="5922829F" w14:textId="77777777" w:rsidR="008E2143" w:rsidRDefault="00000000">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1BF9F7B6" w14:textId="77777777" w:rsidR="008E2143" w:rsidRDefault="00000000">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5FA0D4CF" w14:textId="77777777" w:rsidR="008E2143" w:rsidRDefault="00000000">
      <w:pPr>
        <w:shd w:val="clear" w:color="auto" w:fill="FFFFFF"/>
        <w:jc w:val="center"/>
        <w:rPr>
          <w:sz w:val="20"/>
          <w:szCs w:val="20"/>
          <w:highlight w:val="white"/>
        </w:rPr>
      </w:pPr>
      <w:r>
        <w:rPr>
          <w:sz w:val="20"/>
          <w:szCs w:val="20"/>
        </w:rPr>
        <w:t xml:space="preserve">                    </w:t>
      </w:r>
    </w:p>
    <w:p w14:paraId="38110548" w14:textId="77777777" w:rsidR="008E2143" w:rsidRDefault="008E2143">
      <w:pPr>
        <w:pBdr>
          <w:top w:val="nil"/>
          <w:left w:val="nil"/>
          <w:bottom w:val="nil"/>
          <w:right w:val="nil"/>
          <w:between w:val="nil"/>
        </w:pBdr>
        <w:spacing w:after="200" w:line="240" w:lineRule="auto"/>
        <w:ind w:left="1440"/>
        <w:rPr>
          <w:rFonts w:ascii="Arial" w:eastAsia="Arial" w:hAnsi="Arial" w:cs="Arial"/>
          <w:color w:val="000000"/>
          <w:sz w:val="20"/>
          <w:szCs w:val="20"/>
        </w:rPr>
      </w:pPr>
    </w:p>
    <w:p w14:paraId="00046D35" w14:textId="77777777" w:rsidR="008E2143" w:rsidRDefault="00000000">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3676EC11" wp14:editId="0B4B25EA">
            <wp:extent cx="5731510" cy="2412085"/>
            <wp:effectExtent l="0" t="0" r="0" b="0"/>
            <wp:docPr id="3248321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2412085"/>
                    </a:xfrm>
                    <a:prstGeom prst="rect">
                      <a:avLst/>
                    </a:prstGeom>
                    <a:ln/>
                  </pic:spPr>
                </pic:pic>
              </a:graphicData>
            </a:graphic>
          </wp:inline>
        </w:drawing>
      </w:r>
    </w:p>
    <w:p w14:paraId="44DE39C2" w14:textId="77777777" w:rsidR="008E2143" w:rsidRDefault="00000000">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14:paraId="1C5AA777" w14:textId="77777777" w:rsidR="008E2143" w:rsidRDefault="00000000">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1. Trends Over Time</w:t>
      </w:r>
      <w:r>
        <w:rPr>
          <w:rFonts w:ascii="Arial" w:eastAsia="Arial" w:hAnsi="Arial" w:cs="Arial"/>
          <w:color w:val="000000"/>
          <w:sz w:val="20"/>
          <w:szCs w:val="20"/>
        </w:rPr>
        <w:t>:</w:t>
      </w:r>
    </w:p>
    <w:p w14:paraId="5CD7355A" w14:textId="77777777" w:rsidR="008E2143" w:rsidRDefault="00000000">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proofErr w:type="spellStart"/>
      <w:r>
        <w:rPr>
          <w:rFonts w:ascii="Arial" w:eastAsia="Arial" w:hAnsi="Arial" w:cs="Arial"/>
          <w:color w:val="000000"/>
          <w:sz w:val="20"/>
          <w:szCs w:val="20"/>
        </w:rPr>
        <w:t>Analyze</w:t>
      </w:r>
      <w:proofErr w:type="spellEnd"/>
      <w:r>
        <w:rPr>
          <w:rFonts w:ascii="Arial" w:eastAsia="Arial" w:hAnsi="Arial" w:cs="Arial"/>
          <w:color w:val="000000"/>
          <w:sz w:val="20"/>
          <w:szCs w:val="20"/>
        </w:rPr>
        <w:t xml:space="preserve"> how key metrics (e.g., sales, revenue, or customer counts) change over different time periods (monthly, quarterly, annually) to identify growth patterns or seasonality.</w:t>
      </w:r>
    </w:p>
    <w:p w14:paraId="4726B595" w14:textId="77777777" w:rsidR="008E2143" w:rsidRDefault="00000000">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2. Performance Comparisons</w:t>
      </w:r>
      <w:r>
        <w:rPr>
          <w:rFonts w:ascii="Arial" w:eastAsia="Arial" w:hAnsi="Arial" w:cs="Arial"/>
          <w:color w:val="000000"/>
          <w:sz w:val="20"/>
          <w:szCs w:val="20"/>
        </w:rPr>
        <w:t>:</w:t>
      </w:r>
    </w:p>
    <w:p w14:paraId="3310E095" w14:textId="77777777" w:rsidR="008E2143" w:rsidRDefault="00000000">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Compare performance across different categories, such as regions, products, or departments, to determine which areas are excelling or underperforming.</w:t>
      </w:r>
    </w:p>
    <w:p w14:paraId="29848A99" w14:textId="77777777" w:rsidR="008E2143"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5CC5DA95" w14:textId="77777777" w:rsidR="008E2143" w:rsidRDefault="00000000">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Assess demographic data (age, gender, location) to understand customer segments and tailor marketing strategies accordingly.</w:t>
      </w:r>
    </w:p>
    <w:p w14:paraId="2D5F7F84" w14:textId="77777777" w:rsidR="008E2143"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43ABA852" w14:textId="77777777" w:rsidR="008E2143" w:rsidRDefault="00000000">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 progress against established KPIs (Key Performance Indicators) to assess whether business goals are being met.</w:t>
      </w:r>
    </w:p>
    <w:p w14:paraId="2B652290" w14:textId="77777777" w:rsidR="008E2143" w:rsidRPr="00FB0845" w:rsidRDefault="00000000">
      <w:pPr>
        <w:spacing w:before="280" w:after="280" w:line="240" w:lineRule="auto"/>
        <w:rPr>
          <w:rFonts w:ascii="Times New Roman" w:eastAsia="Times New Roman" w:hAnsi="Times New Roman" w:cs="Times New Roman"/>
          <w:b/>
          <w:bCs/>
          <w:color w:val="000000" w:themeColor="text1"/>
          <w:sz w:val="24"/>
          <w:szCs w:val="24"/>
        </w:rPr>
      </w:pPr>
      <w:r w:rsidRPr="00FB0845">
        <w:rPr>
          <w:rFonts w:ascii="Times New Roman" w:eastAsia="Times New Roman" w:hAnsi="Times New Roman" w:cs="Times New Roman"/>
          <w:b/>
          <w:bCs/>
          <w:color w:val="000000" w:themeColor="text1"/>
          <w:sz w:val="24"/>
          <w:szCs w:val="24"/>
        </w:rPr>
        <w:t>Observations:</w:t>
      </w:r>
    </w:p>
    <w:p w14:paraId="61EBC0CF"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Overall Student Performance</w:t>
      </w:r>
      <w:r>
        <w:rPr>
          <w:rFonts w:ascii="Times New Roman" w:eastAsia="Times New Roman" w:hAnsi="Times New Roman" w:cs="Times New Roman"/>
          <w:color w:val="000000"/>
          <w:sz w:val="24"/>
          <w:szCs w:val="24"/>
        </w:rPr>
        <w:t>:</w:t>
      </w:r>
    </w:p>
    <w:p w14:paraId="2C509E84"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dashboard covers about </w:t>
      </w:r>
      <w:r>
        <w:rPr>
          <w:rFonts w:ascii="Times New Roman" w:eastAsia="Times New Roman" w:hAnsi="Times New Roman" w:cs="Times New Roman"/>
          <w:b/>
          <w:bCs/>
          <w:sz w:val="24"/>
          <w:szCs w:val="24"/>
        </w:rPr>
        <w:t>26K students</w:t>
      </w:r>
      <w:r>
        <w:rPr>
          <w:rFonts w:ascii="Times New Roman" w:eastAsia="Times New Roman" w:hAnsi="Times New Roman" w:cs="Times New Roman"/>
          <w:sz w:val="24"/>
          <w:szCs w:val="24"/>
        </w:rPr>
        <w:t xml:space="preserve"> with an average score of </w:t>
      </w:r>
      <w:r>
        <w:rPr>
          <w:rFonts w:ascii="Times New Roman" w:eastAsia="Times New Roman" w:hAnsi="Times New Roman" w:cs="Times New Roman"/>
          <w:b/>
          <w:bCs/>
          <w:sz w:val="24"/>
          <w:szCs w:val="24"/>
        </w:rPr>
        <w:t>72.84</w:t>
      </w:r>
      <w:r>
        <w:rPr>
          <w:rFonts w:ascii="Times New Roman" w:eastAsia="Times New Roman" w:hAnsi="Times New Roman" w:cs="Times New Roman"/>
          <w:sz w:val="24"/>
          <w:szCs w:val="24"/>
        </w:rPr>
        <w:t xml:space="preserve">, an average of </w:t>
      </w:r>
      <w:r>
        <w:rPr>
          <w:rFonts w:ascii="Times New Roman" w:eastAsia="Times New Roman" w:hAnsi="Times New Roman" w:cs="Times New Roman"/>
          <w:b/>
          <w:bCs/>
          <w:sz w:val="24"/>
          <w:szCs w:val="24"/>
        </w:rPr>
        <w:t>1.62K clicks</w:t>
      </w:r>
      <w:r>
        <w:rPr>
          <w:rFonts w:ascii="Times New Roman" w:eastAsia="Times New Roman" w:hAnsi="Times New Roman" w:cs="Times New Roman"/>
          <w:sz w:val="24"/>
          <w:szCs w:val="24"/>
        </w:rPr>
        <w:t xml:space="preserve"> per student, a pass rate of </w:t>
      </w:r>
      <w:r>
        <w:rPr>
          <w:rFonts w:ascii="Times New Roman" w:eastAsia="Times New Roman" w:hAnsi="Times New Roman" w:cs="Times New Roman"/>
          <w:b/>
          <w:bCs/>
          <w:sz w:val="24"/>
          <w:szCs w:val="24"/>
        </w:rPr>
        <w:t>0.52</w:t>
      </w:r>
      <w:r>
        <w:rPr>
          <w:rFonts w:ascii="Times New Roman" w:eastAsia="Times New Roman" w:hAnsi="Times New Roman" w:cs="Times New Roman"/>
          <w:sz w:val="24"/>
          <w:szCs w:val="24"/>
        </w:rPr>
        <w:t xml:space="preserve"> and a dropout rate of </w:t>
      </w:r>
      <w:r>
        <w:rPr>
          <w:rFonts w:ascii="Times New Roman" w:eastAsia="Times New Roman" w:hAnsi="Times New Roman" w:cs="Times New Roman"/>
          <w:b/>
          <w:bCs/>
          <w:sz w:val="24"/>
          <w:szCs w:val="24"/>
        </w:rPr>
        <w:t>0.26</w:t>
      </w:r>
      <w:r>
        <w:rPr>
          <w:rFonts w:ascii="Times New Roman" w:eastAsia="Times New Roman" w:hAnsi="Times New Roman" w:cs="Times New Roman"/>
          <w:sz w:val="24"/>
          <w:szCs w:val="24"/>
        </w:rPr>
        <w:t>. Roughly one in four students leaves the course and only about half pass.</w:t>
      </w:r>
    </w:p>
    <w:p w14:paraId="2BDDF536"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Final Result Distribution</w:t>
      </w:r>
      <w:r>
        <w:rPr>
          <w:rFonts w:ascii="Times New Roman" w:eastAsia="Times New Roman" w:hAnsi="Times New Roman" w:cs="Times New Roman"/>
          <w:color w:val="000000"/>
          <w:sz w:val="24"/>
          <w:szCs w:val="24"/>
        </w:rPr>
        <w:t>:</w:t>
      </w:r>
    </w:p>
    <w:p w14:paraId="7D14E87D"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w:t>
      </w:r>
      <w:r>
        <w:rPr>
          <w:rFonts w:ascii="Times New Roman" w:eastAsia="Times New Roman" w:hAnsi="Times New Roman" w:cs="Times New Roman"/>
          <w:sz w:val="24"/>
          <w:szCs w:val="24"/>
        </w:rPr>
        <w:t xml:space="preserve"> is the most common result (</w:t>
      </w:r>
      <w:r>
        <w:rPr>
          <w:rFonts w:ascii="Times New Roman" w:eastAsia="Times New Roman" w:hAnsi="Times New Roman" w:cs="Times New Roman"/>
          <w:b/>
          <w:bCs/>
          <w:sz w:val="24"/>
          <w:szCs w:val="24"/>
        </w:rPr>
        <w:t>42.37%</w:t>
      </w:r>
      <w:r>
        <w:rPr>
          <w:rFonts w:ascii="Times New Roman" w:eastAsia="Times New Roman" w:hAnsi="Times New Roman" w:cs="Times New Roman"/>
          <w:sz w:val="24"/>
          <w:szCs w:val="24"/>
        </w:rPr>
        <w:t xml:space="preserve">), followed by </w:t>
      </w:r>
      <w:r>
        <w:rPr>
          <w:rFonts w:ascii="Times New Roman" w:eastAsia="Times New Roman" w:hAnsi="Times New Roman" w:cs="Times New Roman"/>
          <w:b/>
          <w:bCs/>
          <w:sz w:val="24"/>
          <w:szCs w:val="24"/>
        </w:rPr>
        <w:t>Withdrawn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24.15%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Fail</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23.13%</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Distinction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10.35%</w:t>
      </w:r>
      <w:r>
        <w:rPr>
          <w:rFonts w:ascii="Times New Roman" w:eastAsia="Times New Roman" w:hAnsi="Times New Roman" w:cs="Times New Roman"/>
          <w:sz w:val="24"/>
          <w:szCs w:val="24"/>
        </w:rPr>
        <w:t>). Withdrawals and fails together make up nearly half of all students, which points to the need for early academic support.</w:t>
      </w:r>
    </w:p>
    <w:p w14:paraId="2627F561"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Engagement Analysis</w:t>
      </w:r>
      <w:r>
        <w:rPr>
          <w:rFonts w:ascii="Times New Roman" w:eastAsia="Times New Roman" w:hAnsi="Times New Roman" w:cs="Times New Roman"/>
          <w:color w:val="000000"/>
          <w:sz w:val="24"/>
          <w:szCs w:val="24"/>
        </w:rPr>
        <w:t>:</w:t>
      </w:r>
    </w:p>
    <w:p w14:paraId="65FD485A"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spread almost evenly across engagement levels (</w:t>
      </w:r>
      <w:r>
        <w:rPr>
          <w:rFonts w:ascii="Times New Roman" w:eastAsia="Times New Roman" w:hAnsi="Times New Roman" w:cs="Times New Roman"/>
          <w:b/>
          <w:bCs/>
          <w:sz w:val="24"/>
          <w:szCs w:val="24"/>
        </w:rPr>
        <w:t>Low 35.32%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Medium 33.56%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High 31.12%</w:t>
      </w:r>
      <w:r>
        <w:rPr>
          <w:rFonts w:ascii="Times New Roman" w:eastAsia="Times New Roman" w:hAnsi="Times New Roman" w:cs="Times New Roman"/>
          <w:sz w:val="24"/>
          <w:szCs w:val="24"/>
        </w:rPr>
        <w:t xml:space="preserve">), but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engagement students average about </w:t>
      </w:r>
      <w:r>
        <w:rPr>
          <w:rFonts w:ascii="Times New Roman" w:eastAsia="Times New Roman" w:hAnsi="Times New Roman" w:cs="Times New Roman"/>
          <w:b/>
          <w:bCs/>
          <w:sz w:val="24"/>
          <w:szCs w:val="24"/>
        </w:rPr>
        <w:t>3.7K clicks</w:t>
      </w:r>
      <w:r>
        <w:rPr>
          <w:rFonts w:ascii="Times New Roman" w:eastAsia="Times New Roman" w:hAnsi="Times New Roman" w:cs="Times New Roman"/>
          <w:sz w:val="24"/>
          <w:szCs w:val="24"/>
        </w:rPr>
        <w:t xml:space="preserve"> compared with </w:t>
      </w:r>
      <w:r>
        <w:rPr>
          <w:rFonts w:ascii="Times New Roman" w:eastAsia="Times New Roman" w:hAnsi="Times New Roman" w:cs="Times New Roman"/>
          <w:b/>
          <w:bCs/>
          <w:sz w:val="24"/>
          <w:szCs w:val="24"/>
        </w:rPr>
        <w:t>0.9K</w:t>
      </w:r>
      <w:r>
        <w:rPr>
          <w:rFonts w:ascii="Times New Roman" w:eastAsia="Times New Roman" w:hAnsi="Times New Roman" w:cs="Times New Roman"/>
          <w:sz w:val="24"/>
          <w:szCs w:val="24"/>
        </w:rPr>
        <w:t xml:space="preserve"> for Medium and </w:t>
      </w:r>
      <w:r>
        <w:rPr>
          <w:rFonts w:ascii="Times New Roman" w:eastAsia="Times New Roman" w:hAnsi="Times New Roman" w:cs="Times New Roman"/>
          <w:b/>
          <w:bCs/>
          <w:sz w:val="24"/>
          <w:szCs w:val="24"/>
        </w:rPr>
        <w:t>0.2K</w:t>
      </w:r>
      <w:r>
        <w:rPr>
          <w:rFonts w:ascii="Times New Roman" w:eastAsia="Times New Roman" w:hAnsi="Times New Roman" w:cs="Times New Roman"/>
          <w:sz w:val="24"/>
          <w:szCs w:val="24"/>
        </w:rPr>
        <w:t xml:space="preserve"> for Low. Average score also rises with engagement (roughly 78 for High versus 66 for Low), which suggests that more active learners score higher.</w:t>
      </w:r>
    </w:p>
    <w:p w14:paraId="40CD94CA"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Performance Level Comparison</w:t>
      </w:r>
      <w:r>
        <w:rPr>
          <w:rFonts w:ascii="Times New Roman" w:eastAsia="Times New Roman" w:hAnsi="Times New Roman" w:cs="Times New Roman"/>
          <w:color w:val="000000"/>
          <w:sz w:val="24"/>
          <w:szCs w:val="24"/>
        </w:rPr>
        <w:t>:</w:t>
      </w:r>
    </w:p>
    <w:p w14:paraId="29D1D909"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Average score drops sharply across performance levels: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performers average above 80, </w:t>
      </w:r>
      <w:r>
        <w:rPr>
          <w:rFonts w:ascii="Times New Roman" w:eastAsia="Times New Roman" w:hAnsi="Times New Roman" w:cs="Times New Roman"/>
          <w:b/>
          <w:bCs/>
          <w:sz w:val="24"/>
          <w:szCs w:val="24"/>
        </w:rPr>
        <w:t>Medium</w:t>
      </w:r>
      <w:r>
        <w:rPr>
          <w:rFonts w:ascii="Times New Roman" w:eastAsia="Times New Roman" w:hAnsi="Times New Roman" w:cs="Times New Roman"/>
          <w:sz w:val="24"/>
          <w:szCs w:val="24"/>
        </w:rPr>
        <w:t xml:space="preserve"> about 60 and </w:t>
      </w:r>
      <w:r>
        <w:rPr>
          <w:rFonts w:ascii="Times New Roman" w:eastAsia="Times New Roman" w:hAnsi="Times New Roman" w:cs="Times New Roman"/>
          <w:b/>
          <w:bCs/>
          <w:sz w:val="24"/>
          <w:szCs w:val="24"/>
        </w:rPr>
        <w:t>Low</w:t>
      </w:r>
      <w:r>
        <w:rPr>
          <w:rFonts w:ascii="Times New Roman" w:eastAsia="Times New Roman" w:hAnsi="Times New Roman" w:cs="Times New Roman"/>
          <w:sz w:val="24"/>
          <w:szCs w:val="24"/>
        </w:rPr>
        <w:t xml:space="preserve"> below 40. Students in the Low group are the ones most in need of targeted help.</w:t>
      </w:r>
    </w:p>
    <w:p w14:paraId="727FE4F7"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Regional Analysis</w:t>
      </w:r>
      <w:r>
        <w:rPr>
          <w:rFonts w:ascii="Times New Roman" w:eastAsia="Times New Roman" w:hAnsi="Times New Roman" w:cs="Times New Roman"/>
          <w:color w:val="000000"/>
          <w:sz w:val="24"/>
          <w:szCs w:val="24"/>
        </w:rPr>
        <w:t>:</w:t>
      </w:r>
    </w:p>
    <w:p w14:paraId="2F7FC880"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numbers differ by region, from about </w:t>
      </w:r>
      <w:r>
        <w:rPr>
          <w:rFonts w:ascii="Times New Roman" w:eastAsia="Times New Roman" w:hAnsi="Times New Roman" w:cs="Times New Roman"/>
          <w:b/>
          <w:bCs/>
          <w:sz w:val="24"/>
          <w:szCs w:val="24"/>
        </w:rPr>
        <w:t>2.7K</w:t>
      </w:r>
      <w:r>
        <w:rPr>
          <w:rFonts w:ascii="Times New Roman" w:eastAsia="Times New Roman" w:hAnsi="Times New Roman" w:cs="Times New Roman"/>
          <w:sz w:val="24"/>
          <w:szCs w:val="24"/>
        </w:rPr>
        <w:t xml:space="preserve"> in the largest regions (such as </w:t>
      </w:r>
      <w:r>
        <w:rPr>
          <w:rFonts w:ascii="Times New Roman" w:eastAsia="Times New Roman" w:hAnsi="Times New Roman" w:cs="Times New Roman"/>
          <w:b/>
          <w:bCs/>
          <w:sz w:val="24"/>
          <w:szCs w:val="24"/>
        </w:rPr>
        <w:t>Scotland</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East Anglian Region</w:t>
      </w:r>
      <w:r>
        <w:rPr>
          <w:rFonts w:ascii="Times New Roman" w:eastAsia="Times New Roman" w:hAnsi="Times New Roman" w:cs="Times New Roman"/>
          <w:sz w:val="24"/>
          <w:szCs w:val="24"/>
        </w:rPr>
        <w:t xml:space="preserve">) to about </w:t>
      </w:r>
      <w:r>
        <w:rPr>
          <w:rFonts w:ascii="Times New Roman" w:eastAsia="Times New Roman" w:hAnsi="Times New Roman" w:cs="Times New Roman"/>
          <w:b/>
          <w:bCs/>
          <w:sz w:val="24"/>
          <w:szCs w:val="24"/>
        </w:rPr>
        <w:t>1.0K</w:t>
      </w:r>
      <w:r>
        <w:rPr>
          <w:rFonts w:ascii="Times New Roman" w:eastAsia="Times New Roman" w:hAnsi="Times New Roman" w:cs="Times New Roman"/>
          <w:sz w:val="24"/>
          <w:szCs w:val="24"/>
        </w:rPr>
        <w:t xml:space="preserve"> in </w:t>
      </w:r>
      <w:r>
        <w:rPr>
          <w:rFonts w:ascii="Times New Roman" w:eastAsia="Times New Roman" w:hAnsi="Times New Roman" w:cs="Times New Roman"/>
          <w:b/>
          <w:bCs/>
          <w:sz w:val="24"/>
          <w:szCs w:val="24"/>
        </w:rPr>
        <w:t>Ireland</w:t>
      </w:r>
      <w:r>
        <w:rPr>
          <w:rFonts w:ascii="Times New Roman" w:eastAsia="Times New Roman" w:hAnsi="Times New Roman" w:cs="Times New Roman"/>
          <w:sz w:val="24"/>
          <w:szCs w:val="24"/>
        </w:rPr>
        <w:t>. Average scores are very similar across all 13 regions (roughly 71 to 75), so region appears to influence enrolment more than results.</w:t>
      </w:r>
    </w:p>
    <w:p w14:paraId="543B9836"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Education Level and Dropout</w:t>
      </w:r>
      <w:r>
        <w:rPr>
          <w:rFonts w:ascii="Times New Roman" w:eastAsia="Times New Roman" w:hAnsi="Times New Roman" w:cs="Times New Roman"/>
          <w:color w:val="000000"/>
          <w:sz w:val="24"/>
          <w:szCs w:val="24"/>
        </w:rPr>
        <w:t>:</w:t>
      </w:r>
    </w:p>
    <w:p w14:paraId="0D4B34EC"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Dropout falls steadily as prior education rises: </w:t>
      </w:r>
      <w:r>
        <w:rPr>
          <w:rFonts w:ascii="Times New Roman" w:eastAsia="Times New Roman" w:hAnsi="Times New Roman" w:cs="Times New Roman"/>
          <w:b/>
          <w:bCs/>
          <w:sz w:val="24"/>
          <w:szCs w:val="24"/>
        </w:rPr>
        <w:t>0.373</w:t>
      </w:r>
      <w:r>
        <w:rPr>
          <w:rFonts w:ascii="Times New Roman" w:eastAsia="Times New Roman" w:hAnsi="Times New Roman" w:cs="Times New Roman"/>
          <w:sz w:val="24"/>
          <w:szCs w:val="24"/>
        </w:rPr>
        <w:t xml:space="preserve"> for students with </w:t>
      </w:r>
      <w:r>
        <w:rPr>
          <w:rFonts w:ascii="Times New Roman" w:eastAsia="Times New Roman" w:hAnsi="Times New Roman" w:cs="Times New Roman"/>
          <w:b/>
          <w:bCs/>
          <w:sz w:val="24"/>
          <w:szCs w:val="24"/>
        </w:rPr>
        <w:t>no formal qualifications</w:t>
      </w:r>
      <w:r>
        <w:rPr>
          <w:rFonts w:ascii="Times New Roman" w:eastAsia="Times New Roman" w:hAnsi="Times New Roman" w:cs="Times New Roman"/>
          <w:sz w:val="24"/>
          <w:szCs w:val="24"/>
        </w:rPr>
        <w:t xml:space="preserve">, 0.291 for lower than A Level, 0.236 for A Level, 0.224 for HE qualification and </w:t>
      </w:r>
      <w:r>
        <w:rPr>
          <w:rFonts w:ascii="Times New Roman" w:eastAsia="Times New Roman" w:hAnsi="Times New Roman" w:cs="Times New Roman"/>
          <w:b/>
          <w:bCs/>
          <w:sz w:val="24"/>
          <w:szCs w:val="24"/>
        </w:rPr>
        <w:t>0.219</w:t>
      </w:r>
      <w:r>
        <w:rPr>
          <w:rFonts w:ascii="Times New Roman" w:eastAsia="Times New Roman" w:hAnsi="Times New Roman" w:cs="Times New Roman"/>
          <w:sz w:val="24"/>
          <w:szCs w:val="24"/>
        </w:rPr>
        <w:t xml:space="preserve"> for </w:t>
      </w:r>
      <w:r>
        <w:rPr>
          <w:rFonts w:ascii="Times New Roman" w:eastAsia="Times New Roman" w:hAnsi="Times New Roman" w:cs="Times New Roman"/>
          <w:b/>
          <w:bCs/>
          <w:sz w:val="24"/>
          <w:szCs w:val="24"/>
        </w:rPr>
        <w:t>postgraduate</w:t>
      </w:r>
      <w:r>
        <w:rPr>
          <w:rFonts w:ascii="Times New Roman" w:eastAsia="Times New Roman" w:hAnsi="Times New Roman" w:cs="Times New Roman"/>
          <w:sz w:val="24"/>
          <w:szCs w:val="24"/>
        </w:rPr>
        <w:t>. Pass rate shows the opposite pattern, from about 0.34 for no formal qualifications to about 0.67 for postgraduates.</w:t>
      </w:r>
    </w:p>
    <w:p w14:paraId="193A0B64"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Risk Level Distribution</w:t>
      </w:r>
      <w:r>
        <w:rPr>
          <w:rFonts w:ascii="Times New Roman" w:eastAsia="Times New Roman" w:hAnsi="Times New Roman" w:cs="Times New Roman"/>
          <w:color w:val="000000"/>
          <w:sz w:val="24"/>
          <w:szCs w:val="24"/>
        </w:rPr>
        <w:t>:</w:t>
      </w:r>
    </w:p>
    <w:p w14:paraId="62D3C402"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spread almost evenly across risk levels (</w:t>
      </w:r>
      <w:r>
        <w:rPr>
          <w:rFonts w:ascii="Times New Roman" w:eastAsia="Times New Roman" w:hAnsi="Times New Roman" w:cs="Times New Roman"/>
          <w:b/>
          <w:bCs/>
          <w:sz w:val="24"/>
          <w:szCs w:val="24"/>
        </w:rPr>
        <w:t>Very High 26.66%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High 25.72%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Low 24.53%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Safe 23.09%</w:t>
      </w:r>
      <w:r>
        <w:rPr>
          <w:rFonts w:ascii="Times New Roman" w:eastAsia="Times New Roman" w:hAnsi="Times New Roman" w:cs="Times New Roman"/>
          <w:sz w:val="24"/>
          <w:szCs w:val="24"/>
        </w:rPr>
        <w:t xml:space="preserve">), so </w:t>
      </w:r>
      <w:r>
        <w:rPr>
          <w:rFonts w:ascii="Times New Roman" w:eastAsia="Times New Roman" w:hAnsi="Times New Roman" w:cs="Times New Roman"/>
          <w:b/>
          <w:bCs/>
          <w:sz w:val="24"/>
          <w:szCs w:val="24"/>
        </w:rPr>
        <w:t>over half (52.38%)</w:t>
      </w:r>
      <w:r>
        <w:rPr>
          <w:rFonts w:ascii="Times New Roman" w:eastAsia="Times New Roman" w:hAnsi="Times New Roman" w:cs="Times New Roman"/>
          <w:sz w:val="24"/>
          <w:szCs w:val="24"/>
        </w:rPr>
        <w:t xml:space="preserve"> of students fall in the High or Very </w:t>
      </w:r>
      <w:proofErr w:type="gramStart"/>
      <w:r>
        <w:rPr>
          <w:rFonts w:ascii="Times New Roman" w:eastAsia="Times New Roman" w:hAnsi="Times New Roman" w:cs="Times New Roman"/>
          <w:sz w:val="24"/>
          <w:szCs w:val="24"/>
        </w:rPr>
        <w:t>High risk</w:t>
      </w:r>
      <w:proofErr w:type="gramEnd"/>
      <w:r>
        <w:rPr>
          <w:rFonts w:ascii="Times New Roman" w:eastAsia="Times New Roman" w:hAnsi="Times New Roman" w:cs="Times New Roman"/>
          <w:sz w:val="24"/>
          <w:szCs w:val="24"/>
        </w:rPr>
        <w:t xml:space="preserve"> groups and should be prioritised for support.</w:t>
      </w:r>
    </w:p>
    <w:p w14:paraId="711361E8" w14:textId="77777777" w:rsidR="008E2143" w:rsidRDefault="00000000">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Gender Comparison</w:t>
      </w:r>
      <w:r>
        <w:rPr>
          <w:rFonts w:ascii="Times New Roman" w:eastAsia="Times New Roman" w:hAnsi="Times New Roman" w:cs="Times New Roman"/>
          <w:color w:val="000000"/>
          <w:sz w:val="24"/>
          <w:szCs w:val="24"/>
        </w:rPr>
        <w:t>:</w:t>
      </w:r>
    </w:p>
    <w:p w14:paraId="0F9FF1AD" w14:textId="77777777" w:rsidR="008E2143" w:rsidRDefault="00000000">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Female</w:t>
      </w:r>
      <w:r>
        <w:rPr>
          <w:rFonts w:ascii="Times New Roman" w:eastAsia="Times New Roman" w:hAnsi="Times New Roman" w:cs="Times New Roman"/>
          <w:sz w:val="24"/>
          <w:szCs w:val="24"/>
        </w:rPr>
        <w:t xml:space="preserve"> students have a higher pass share (</w:t>
      </w:r>
      <w:r>
        <w:rPr>
          <w:rFonts w:ascii="Times New Roman" w:eastAsia="Times New Roman" w:hAnsi="Times New Roman" w:cs="Times New Roman"/>
          <w:b/>
          <w:bCs/>
          <w:sz w:val="24"/>
          <w:szCs w:val="24"/>
        </w:rPr>
        <w:t>44.40%</w:t>
      </w:r>
      <w:r>
        <w:rPr>
          <w:rFonts w:ascii="Times New Roman" w:eastAsia="Times New Roman" w:hAnsi="Times New Roman" w:cs="Times New Roman"/>
          <w:sz w:val="24"/>
          <w:szCs w:val="24"/>
        </w:rPr>
        <w:t xml:space="preserve"> versus </w:t>
      </w:r>
      <w:r>
        <w:rPr>
          <w:rFonts w:ascii="Times New Roman" w:eastAsia="Times New Roman" w:hAnsi="Times New Roman" w:cs="Times New Roman"/>
          <w:b/>
          <w:bCs/>
          <w:sz w:val="24"/>
          <w:szCs w:val="24"/>
        </w:rPr>
        <w:t>40.70%</w:t>
      </w:r>
      <w:r>
        <w:rPr>
          <w:rFonts w:ascii="Times New Roman" w:eastAsia="Times New Roman" w:hAnsi="Times New Roman" w:cs="Times New Roman"/>
          <w:sz w:val="24"/>
          <w:szCs w:val="24"/>
        </w:rPr>
        <w:t>) and a lower withdrawal share (</w:t>
      </w:r>
      <w:r>
        <w:rPr>
          <w:rFonts w:ascii="Times New Roman" w:eastAsia="Times New Roman" w:hAnsi="Times New Roman" w:cs="Times New Roman"/>
          <w:b/>
          <w:bCs/>
          <w:sz w:val="24"/>
          <w:szCs w:val="24"/>
        </w:rPr>
        <w:t>22.18%</w:t>
      </w:r>
      <w:r>
        <w:rPr>
          <w:rFonts w:ascii="Times New Roman" w:eastAsia="Times New Roman" w:hAnsi="Times New Roman" w:cs="Times New Roman"/>
          <w:sz w:val="24"/>
          <w:szCs w:val="24"/>
        </w:rPr>
        <w:t xml:space="preserve"> versus </w:t>
      </w:r>
      <w:r>
        <w:rPr>
          <w:rFonts w:ascii="Times New Roman" w:eastAsia="Times New Roman" w:hAnsi="Times New Roman" w:cs="Times New Roman"/>
          <w:b/>
          <w:bCs/>
          <w:sz w:val="24"/>
          <w:szCs w:val="24"/>
        </w:rPr>
        <w:t>25.78%</w:t>
      </w:r>
      <w:r>
        <w:rPr>
          <w:rFonts w:ascii="Times New Roman" w:eastAsia="Times New Roman" w:hAnsi="Times New Roman" w:cs="Times New Roman"/>
          <w:sz w:val="24"/>
          <w:szCs w:val="24"/>
        </w:rPr>
        <w:t xml:space="preserve">) than </w:t>
      </w:r>
      <w:r>
        <w:rPr>
          <w:rFonts w:ascii="Times New Roman" w:eastAsia="Times New Roman" w:hAnsi="Times New Roman" w:cs="Times New Roman"/>
          <w:b/>
          <w:bCs/>
          <w:sz w:val="24"/>
          <w:szCs w:val="24"/>
        </w:rPr>
        <w:t>male</w:t>
      </w:r>
      <w:r>
        <w:rPr>
          <w:rFonts w:ascii="Times New Roman" w:eastAsia="Times New Roman" w:hAnsi="Times New Roman" w:cs="Times New Roman"/>
          <w:sz w:val="24"/>
          <w:szCs w:val="24"/>
        </w:rPr>
        <w:t xml:space="preserve"> students. Distinction and fail shares are similar for both groups (female 10.82% and 22.60%, male 9.96% and 23.56%).</w:t>
      </w:r>
    </w:p>
    <w:p w14:paraId="06073F03" w14:textId="77777777" w:rsidR="008E2143" w:rsidRDefault="008E2143">
      <w:pPr>
        <w:spacing w:before="280" w:after="280" w:line="240" w:lineRule="auto"/>
        <w:ind w:left="720"/>
        <w:rPr>
          <w:rFonts w:ascii="Times New Roman" w:eastAsia="Times New Roman" w:hAnsi="Times New Roman" w:cs="Times New Roman"/>
          <w:sz w:val="24"/>
          <w:szCs w:val="24"/>
        </w:rPr>
      </w:pPr>
    </w:p>
    <w:p w14:paraId="5F08FC4D" w14:textId="77777777" w:rsidR="008E2143" w:rsidRDefault="008E2143">
      <w:pPr>
        <w:spacing w:before="280" w:after="280" w:line="240" w:lineRule="auto"/>
        <w:rPr>
          <w:rFonts w:ascii="Times New Roman" w:eastAsia="Times New Roman" w:hAnsi="Times New Roman" w:cs="Times New Roman"/>
          <w:sz w:val="24"/>
          <w:szCs w:val="24"/>
        </w:rPr>
      </w:pPr>
    </w:p>
    <w:p w14:paraId="76C4083C" w14:textId="77777777" w:rsidR="008E2143" w:rsidRDefault="008E2143">
      <w:pPr>
        <w:pBdr>
          <w:top w:val="nil"/>
          <w:left w:val="nil"/>
          <w:bottom w:val="nil"/>
          <w:right w:val="nil"/>
          <w:between w:val="nil"/>
        </w:pBdr>
        <w:spacing w:after="200" w:line="240" w:lineRule="auto"/>
        <w:ind w:left="720"/>
        <w:rPr>
          <w:rFonts w:ascii="Arial" w:eastAsia="Arial" w:hAnsi="Arial" w:cs="Arial"/>
          <w:color w:val="000000"/>
          <w:sz w:val="20"/>
          <w:szCs w:val="20"/>
        </w:rPr>
      </w:pPr>
    </w:p>
    <w:p w14:paraId="597CE613" w14:textId="77777777" w:rsidR="008E2143" w:rsidRDefault="008E2143">
      <w:pPr>
        <w:pBdr>
          <w:top w:val="nil"/>
          <w:left w:val="nil"/>
          <w:bottom w:val="nil"/>
          <w:right w:val="nil"/>
          <w:between w:val="nil"/>
        </w:pBdr>
        <w:spacing w:after="200" w:line="240" w:lineRule="auto"/>
        <w:rPr>
          <w:rFonts w:ascii="Arial" w:eastAsia="Arial" w:hAnsi="Arial" w:cs="Arial"/>
          <w:color w:val="000000"/>
          <w:sz w:val="20"/>
          <w:szCs w:val="20"/>
        </w:rPr>
      </w:pPr>
    </w:p>
    <w:p w14:paraId="27933F8B" w14:textId="77777777" w:rsidR="008E2143" w:rsidRDefault="00000000">
      <w:r>
        <w:t xml:space="preserve"> </w:t>
      </w:r>
    </w:p>
    <w:sectPr w:rsidR="008E214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FEB0458-8314-4AAA-98E1-9B1F1791925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1F335A5-A9A0-449E-825A-DC780DB47809}"/>
    <w:embedBold r:id="rId3" w:fontKey="{35515F7A-762C-495A-8146-4A848FFFFDF6}"/>
  </w:font>
  <w:font w:name="Georgia">
    <w:panose1 w:val="02040502050405020303"/>
    <w:charset w:val="00"/>
    <w:family w:val="roman"/>
    <w:pitch w:val="variable"/>
    <w:sig w:usb0="00000287" w:usb1="00000000" w:usb2="00000000" w:usb3="00000000" w:csb0="0000009F" w:csb1="00000000"/>
    <w:embedItalic r:id="rId4" w:fontKey="{B5C85BCF-DF82-4E31-A469-16D4357BE5AE}"/>
  </w:font>
  <w:font w:name="Cambria">
    <w:panose1 w:val="02040503050406030204"/>
    <w:charset w:val="00"/>
    <w:family w:val="roman"/>
    <w:pitch w:val="variable"/>
    <w:sig w:usb0="E00006FF" w:usb1="420024FF" w:usb2="02000000" w:usb3="00000000" w:csb0="0000019F" w:csb1="00000000"/>
    <w:embedRegular r:id="rId5" w:fontKey="{F8C80A4B-17B5-4F6E-A2A7-7F199FB9E5FA}"/>
    <w:embedBold r:id="rId6" w:fontKey="{9853D5D1-600B-4621-9E5D-5A20B470673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8C50534-1877-45D7-8CB4-8AE609644A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66B5A"/>
    <w:multiLevelType w:val="multilevel"/>
    <w:tmpl w:val="66820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065D21"/>
    <w:multiLevelType w:val="multilevel"/>
    <w:tmpl w:val="E8A6E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747D5D"/>
    <w:multiLevelType w:val="multilevel"/>
    <w:tmpl w:val="7AA0E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86F370C"/>
    <w:multiLevelType w:val="multilevel"/>
    <w:tmpl w:val="1E8C3A7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964950"/>
    <w:multiLevelType w:val="multilevel"/>
    <w:tmpl w:val="7ABE5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4A94382"/>
    <w:multiLevelType w:val="multilevel"/>
    <w:tmpl w:val="3B1E7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41172491">
    <w:abstractNumId w:val="2"/>
  </w:num>
  <w:num w:numId="2" w16cid:durableId="654115141">
    <w:abstractNumId w:val="5"/>
  </w:num>
  <w:num w:numId="3" w16cid:durableId="2133554916">
    <w:abstractNumId w:val="0"/>
  </w:num>
  <w:num w:numId="4" w16cid:durableId="1345984351">
    <w:abstractNumId w:val="1"/>
  </w:num>
  <w:num w:numId="5" w16cid:durableId="1065956204">
    <w:abstractNumId w:val="4"/>
  </w:num>
  <w:num w:numId="6" w16cid:durableId="4449282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143"/>
    <w:rsid w:val="007F634F"/>
    <w:rsid w:val="0087455B"/>
    <w:rsid w:val="008E2143"/>
    <w:rsid w:val="00E86E76"/>
    <w:rsid w:val="00FB0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5039"/>
  <w15:docId w15:val="{C1CF7B3B-F114-4F04-A9AE-875E65DD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620</Words>
  <Characters>3536</Characters>
  <Application>Microsoft Office Word</Application>
  <DocSecurity>0</DocSecurity>
  <Lines>29</Lines>
  <Paragraphs>8</Paragraphs>
  <ScaleCrop>false</ScaleCrop>
  <Company>Sri Padmavati Mahila Visvavidyalayam</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2026-09-19T10:39:00Z</dcterms:created>
  <dcterms:modified xsi:type="dcterms:W3CDTF">2026-09-21T05:55:00Z</dcterms:modified>
</cp:coreProperties>
</file>