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959D0" w14:textId="77777777" w:rsidR="00E75245"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2017328B" w14:textId="77777777" w:rsidR="00E75245" w:rsidRDefault="00E75245">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75245" w14:paraId="0BF23A23" w14:textId="77777777">
        <w:tc>
          <w:tcPr>
            <w:tcW w:w="4680" w:type="dxa"/>
            <w:shd w:val="clear" w:color="auto" w:fill="auto"/>
            <w:tcMar>
              <w:top w:w="100" w:type="dxa"/>
              <w:left w:w="100" w:type="dxa"/>
              <w:bottom w:w="100" w:type="dxa"/>
              <w:right w:w="100" w:type="dxa"/>
            </w:tcMar>
          </w:tcPr>
          <w:p w14:paraId="1AE4FD7C"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5DDD4022" w14:textId="6A197BBF" w:rsidR="00E75245" w:rsidRDefault="00E105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E75245" w14:paraId="511AB40D" w14:textId="77777777">
        <w:tc>
          <w:tcPr>
            <w:tcW w:w="4680" w:type="dxa"/>
            <w:shd w:val="clear" w:color="auto" w:fill="auto"/>
            <w:tcMar>
              <w:top w:w="100" w:type="dxa"/>
              <w:left w:w="100" w:type="dxa"/>
              <w:bottom w:w="100" w:type="dxa"/>
              <w:right w:w="100" w:type="dxa"/>
            </w:tcMar>
          </w:tcPr>
          <w:p w14:paraId="66AD05C3"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16C2FAC2"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Education Analytics Dashboard: Student Performance, Engagement &amp; Dropout Analysis</w:t>
            </w:r>
          </w:p>
        </w:tc>
      </w:tr>
      <w:tr w:rsidR="00E75245" w14:paraId="354E4F67" w14:textId="77777777">
        <w:tc>
          <w:tcPr>
            <w:tcW w:w="4680" w:type="dxa"/>
            <w:shd w:val="clear" w:color="auto" w:fill="auto"/>
            <w:tcMar>
              <w:top w:w="100" w:type="dxa"/>
              <w:left w:w="100" w:type="dxa"/>
              <w:bottom w:w="100" w:type="dxa"/>
              <w:right w:w="100" w:type="dxa"/>
            </w:tcMar>
          </w:tcPr>
          <w:p w14:paraId="087A2CD2"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2161C73"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18490447" w14:textId="77777777" w:rsidR="00E75245" w:rsidRDefault="00E75245">
      <w:pPr>
        <w:widowControl/>
        <w:spacing w:after="160" w:line="120" w:lineRule="auto"/>
        <w:rPr>
          <w:rFonts w:ascii="Times New Roman" w:eastAsia="Times New Roman" w:hAnsi="Times New Roman" w:cs="Times New Roman"/>
        </w:rPr>
      </w:pPr>
    </w:p>
    <w:p w14:paraId="4435D3D0" w14:textId="77777777" w:rsidR="00E7524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600B98FE" w14:textId="77777777" w:rsidR="00E7524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E75245" w14:paraId="6FE2D310" w14:textId="77777777">
        <w:trPr>
          <w:trHeight w:val="478"/>
        </w:trPr>
        <w:tc>
          <w:tcPr>
            <w:tcW w:w="9360" w:type="dxa"/>
            <w:gridSpan w:val="2"/>
            <w:shd w:val="clear" w:color="auto" w:fill="FFFFFF"/>
            <w:tcMar>
              <w:top w:w="100" w:type="dxa"/>
              <w:left w:w="100" w:type="dxa"/>
              <w:bottom w:w="100" w:type="dxa"/>
              <w:right w:w="100" w:type="dxa"/>
            </w:tcMar>
          </w:tcPr>
          <w:p w14:paraId="37F93E96" w14:textId="77777777" w:rsidR="00E7524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E75245" w14:paraId="70556389" w14:textId="77777777">
        <w:trPr>
          <w:trHeight w:val="478"/>
        </w:trPr>
        <w:tc>
          <w:tcPr>
            <w:tcW w:w="2415" w:type="dxa"/>
            <w:shd w:val="clear" w:color="auto" w:fill="auto"/>
            <w:tcMar>
              <w:top w:w="100" w:type="dxa"/>
              <w:left w:w="100" w:type="dxa"/>
              <w:bottom w:w="100" w:type="dxa"/>
              <w:right w:w="100" w:type="dxa"/>
            </w:tcMar>
          </w:tcPr>
          <w:p w14:paraId="6BC7ED18"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6FDF9B4A"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build an interactive Power BI dashboard, backed by SQL analysis in MySQL, that measures student performance, engagement and dropout in an online education program and identifies the factors (engagement, prior education, region, gender and risk level) that influence student outcomes, so that at-risk learners can be supported early.</w:t>
            </w:r>
          </w:p>
        </w:tc>
      </w:tr>
      <w:tr w:rsidR="00E75245" w14:paraId="78AFE41F" w14:textId="77777777">
        <w:trPr>
          <w:trHeight w:val="478"/>
        </w:trPr>
        <w:tc>
          <w:tcPr>
            <w:tcW w:w="2415" w:type="dxa"/>
            <w:shd w:val="clear" w:color="auto" w:fill="auto"/>
            <w:tcMar>
              <w:top w:w="100" w:type="dxa"/>
              <w:left w:w="100" w:type="dxa"/>
              <w:bottom w:w="100" w:type="dxa"/>
              <w:right w:w="100" w:type="dxa"/>
            </w:tcMar>
          </w:tcPr>
          <w:p w14:paraId="16D87024"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0852C1D0"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scope: </w:t>
            </w:r>
            <w:r>
              <w:rPr>
                <w:rFonts w:ascii="Times New Roman" w:eastAsia="Times New Roman" w:hAnsi="Times New Roman" w:cs="Times New Roman"/>
                <w:sz w:val="24"/>
                <w:szCs w:val="24"/>
              </w:rPr>
              <w:t>one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of 32,593 records and 14 columns covering student demographics (gender, region, highest education), engagement (total clicks, engagement level), performance (average score, performance level) and outcomes (final result, pass and dropout flags, risk level).</w:t>
            </w:r>
          </w:p>
          <w:p w14:paraId="69E20CE5"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Deliverables: </w:t>
            </w:r>
            <w:r>
              <w:rPr>
                <w:rFonts w:ascii="Times New Roman" w:eastAsia="Times New Roman" w:hAnsi="Times New Roman" w:cs="Times New Roman"/>
                <w:sz w:val="24"/>
                <w:szCs w:val="24"/>
              </w:rPr>
              <w:t>SQL analysis queries, five KPI measures (Total Students, Dropout Rate, Average Score, Average Clicks, Pass Rate) and a multi-page Power BI report with slicers and drill-down.</w:t>
            </w:r>
          </w:p>
          <w:p w14:paraId="2015A035"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 of scope: </w:t>
            </w:r>
            <w:r>
              <w:rPr>
                <w:rFonts w:ascii="Times New Roman" w:eastAsia="Times New Roman" w:hAnsi="Times New Roman" w:cs="Times New Roman"/>
                <w:sz w:val="24"/>
                <w:szCs w:val="24"/>
              </w:rPr>
              <w:t>real-time data feeds and predictive machine-learning models; the project focuses on descriptive and diagnostic analysis.</w:t>
            </w:r>
          </w:p>
        </w:tc>
      </w:tr>
      <w:tr w:rsidR="00E75245" w14:paraId="47D862F6" w14:textId="77777777">
        <w:trPr>
          <w:trHeight w:val="478"/>
        </w:trPr>
        <w:tc>
          <w:tcPr>
            <w:tcW w:w="9360" w:type="dxa"/>
            <w:gridSpan w:val="2"/>
            <w:shd w:val="clear" w:color="auto" w:fill="FFFFFF"/>
            <w:tcMar>
              <w:top w:w="100" w:type="dxa"/>
              <w:left w:w="100" w:type="dxa"/>
              <w:bottom w:w="100" w:type="dxa"/>
              <w:right w:w="100" w:type="dxa"/>
            </w:tcMar>
          </w:tcPr>
          <w:p w14:paraId="0ECF756C" w14:textId="77777777" w:rsidR="00E7524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E75245" w14:paraId="61543C20" w14:textId="77777777">
        <w:trPr>
          <w:trHeight w:val="478"/>
        </w:trPr>
        <w:tc>
          <w:tcPr>
            <w:tcW w:w="2415" w:type="dxa"/>
            <w:shd w:val="clear" w:color="auto" w:fill="auto"/>
            <w:tcMar>
              <w:top w:w="100" w:type="dxa"/>
              <w:left w:w="100" w:type="dxa"/>
              <w:bottom w:w="100" w:type="dxa"/>
              <w:right w:w="100" w:type="dxa"/>
            </w:tcMar>
          </w:tcPr>
          <w:p w14:paraId="53595015"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14:paraId="246211DE"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education providers collect large volumes of student data (clicks, scores, demographics and results), but in raw tables it is hard to see who is engaged, who is struggling and who is likely to drop out. About one in four students (26%) drops out and only about half (52%) pass, yet there is no single view that shows how engagement, </w:t>
            </w:r>
            <w:r>
              <w:rPr>
                <w:rFonts w:ascii="Times New Roman" w:eastAsia="Times New Roman" w:hAnsi="Times New Roman" w:cs="Times New Roman"/>
                <w:sz w:val="24"/>
                <w:szCs w:val="24"/>
              </w:rPr>
              <w:lastRenderedPageBreak/>
              <w:t>prior education, region and gender relate to these outcomes.</w:t>
            </w:r>
          </w:p>
        </w:tc>
      </w:tr>
      <w:tr w:rsidR="00E75245" w14:paraId="07B7237A" w14:textId="77777777">
        <w:trPr>
          <w:trHeight w:val="478"/>
        </w:trPr>
        <w:tc>
          <w:tcPr>
            <w:tcW w:w="2415" w:type="dxa"/>
            <w:shd w:val="clear" w:color="auto" w:fill="auto"/>
            <w:tcMar>
              <w:top w:w="100" w:type="dxa"/>
              <w:left w:w="100" w:type="dxa"/>
              <w:bottom w:w="100" w:type="dxa"/>
              <w:right w:w="100" w:type="dxa"/>
            </w:tcMar>
          </w:tcPr>
          <w:p w14:paraId="77938697"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shd w:val="clear" w:color="auto" w:fill="auto"/>
            <w:tcMar>
              <w:top w:w="100" w:type="dxa"/>
              <w:left w:w="100" w:type="dxa"/>
              <w:bottom w:w="100" w:type="dxa"/>
              <w:right w:w="100" w:type="dxa"/>
            </w:tcMar>
          </w:tcPr>
          <w:p w14:paraId="719F4F6E"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Solving this lets instructors and administrators spot low-engagement and high-risk students early and target support where dropout is highest; for example, students with no formal qualifications have a dropout rate of 0.37 compared with 0.22 for postgraduates. It also shows how engagement relates to scores and results, which helps improve course design. The expected outcome is higher pass rates, lower dropout and better use of support resources.</w:t>
            </w:r>
          </w:p>
        </w:tc>
      </w:tr>
      <w:tr w:rsidR="00E75245" w14:paraId="71EAEFC6" w14:textId="77777777">
        <w:trPr>
          <w:trHeight w:val="478"/>
        </w:trPr>
        <w:tc>
          <w:tcPr>
            <w:tcW w:w="9360" w:type="dxa"/>
            <w:gridSpan w:val="2"/>
            <w:shd w:val="clear" w:color="auto" w:fill="FFFFFF"/>
            <w:tcMar>
              <w:top w:w="100" w:type="dxa"/>
              <w:left w:w="100" w:type="dxa"/>
              <w:bottom w:w="100" w:type="dxa"/>
              <w:right w:w="100" w:type="dxa"/>
            </w:tcMar>
          </w:tcPr>
          <w:p w14:paraId="17D8C42F" w14:textId="77777777" w:rsidR="00E7524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E75245" w14:paraId="7DB79A76" w14:textId="77777777">
        <w:trPr>
          <w:trHeight w:val="478"/>
        </w:trPr>
        <w:tc>
          <w:tcPr>
            <w:tcW w:w="2415" w:type="dxa"/>
            <w:shd w:val="clear" w:color="auto" w:fill="auto"/>
            <w:tcMar>
              <w:top w:w="100" w:type="dxa"/>
              <w:left w:w="100" w:type="dxa"/>
              <w:bottom w:w="100" w:type="dxa"/>
              <w:right w:w="100" w:type="dxa"/>
            </w:tcMar>
          </w:tcPr>
          <w:p w14:paraId="5CFD81AE"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shd w:val="clear" w:color="auto" w:fill="auto"/>
            <w:tcMar>
              <w:top w:w="100" w:type="dxa"/>
              <w:left w:w="100" w:type="dxa"/>
              <w:bottom w:w="100" w:type="dxa"/>
              <w:right w:w="100" w:type="dxa"/>
            </w:tcMar>
          </w:tcPr>
          <w:p w14:paraId="0464C8B5"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loading: </w:t>
            </w:r>
            <w:r>
              <w:rPr>
                <w:rFonts w:ascii="Times New Roman" w:eastAsia="Times New Roman" w:hAnsi="Times New Roman" w:cs="Times New Roman"/>
                <w:sz w:val="24"/>
                <w:szCs w:val="24"/>
              </w:rPr>
              <w:t xml:space="preserve">import the CSV dataset into the MySQL table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(database </w:t>
            </w:r>
            <w:proofErr w:type="spellStart"/>
            <w:r>
              <w:rPr>
                <w:rFonts w:ascii="Times New Roman" w:eastAsia="Times New Roman" w:hAnsi="Times New Roman" w:cs="Times New Roman"/>
                <w:sz w:val="24"/>
                <w:szCs w:val="24"/>
              </w:rPr>
              <w:t>online_education_db</w:t>
            </w:r>
            <w:proofErr w:type="spellEnd"/>
            <w:r>
              <w:rPr>
                <w:rFonts w:ascii="Times New Roman" w:eastAsia="Times New Roman" w:hAnsi="Times New Roman" w:cs="Times New Roman"/>
                <w:sz w:val="24"/>
                <w:szCs w:val="24"/>
              </w:rPr>
              <w:t>) using MySQL Workbench and verify the row and column counts.</w:t>
            </w:r>
          </w:p>
          <w:p w14:paraId="297468B9"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SQL analysis: </w:t>
            </w:r>
            <w:r>
              <w:rPr>
                <w:rFonts w:ascii="Times New Roman" w:eastAsia="Times New Roman" w:hAnsi="Times New Roman" w:cs="Times New Roman"/>
                <w:sz w:val="24"/>
                <w:szCs w:val="24"/>
              </w:rPr>
              <w:t>run aggregate queries for total students, average score, average clicks, pass and dropout counts, and break them down by engagement level, performance level, risk level, click bands, region and highest education.</w:t>
            </w:r>
          </w:p>
          <w:p w14:paraId="71E2580C"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modelling: </w:t>
            </w:r>
            <w:r>
              <w:rPr>
                <w:rFonts w:ascii="Times New Roman" w:eastAsia="Times New Roman" w:hAnsi="Times New Roman" w:cs="Times New Roman"/>
                <w:sz w:val="24"/>
                <w:szCs w:val="24"/>
              </w:rPr>
              <w:t>connect Power BI Desktop to the MySQL table through the MySQL connector and create DAX measures for the five KPIs.</w:t>
            </w:r>
          </w:p>
          <w:p w14:paraId="1358B235"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Visualisation</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build report pages for KPI exploration, student performance and engagement overview, risk, dropout and demographic analysis, and a consolidated dashboard with slicers for gender, region, engagement level, performance level, risk level and final result.</w:t>
            </w:r>
          </w:p>
          <w:p w14:paraId="4CB959D2"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Validation: </w:t>
            </w:r>
            <w:r>
              <w:rPr>
                <w:rFonts w:ascii="Times New Roman" w:eastAsia="Times New Roman" w:hAnsi="Times New Roman" w:cs="Times New Roman"/>
                <w:sz w:val="24"/>
                <w:szCs w:val="24"/>
              </w:rPr>
              <w:t>cross-check dashboard figures against the SQL query results.</w:t>
            </w:r>
          </w:p>
        </w:tc>
      </w:tr>
      <w:tr w:rsidR="00E75245" w14:paraId="6B212D03" w14:textId="77777777">
        <w:trPr>
          <w:trHeight w:val="478"/>
        </w:trPr>
        <w:tc>
          <w:tcPr>
            <w:tcW w:w="2415" w:type="dxa"/>
            <w:shd w:val="clear" w:color="auto" w:fill="auto"/>
            <w:tcMar>
              <w:top w:w="100" w:type="dxa"/>
              <w:left w:w="100" w:type="dxa"/>
              <w:bottom w:w="100" w:type="dxa"/>
              <w:right w:w="100" w:type="dxa"/>
            </w:tcMar>
          </w:tcPr>
          <w:p w14:paraId="07ADA485" w14:textId="77777777" w:rsidR="00E7524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14:paraId="2B8D3B57"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KPI cards: </w:t>
            </w:r>
            <w:r>
              <w:rPr>
                <w:rFonts w:ascii="Times New Roman" w:eastAsia="Times New Roman" w:hAnsi="Times New Roman" w:cs="Times New Roman"/>
                <w:sz w:val="24"/>
                <w:szCs w:val="24"/>
              </w:rPr>
              <w:t>Total Students (about 26K), Dropout Rate (0.26), Average Score (72.84), Average Clicks (1.62K) and Pass Rate (0.52) at a glance.</w:t>
            </w:r>
          </w:p>
          <w:p w14:paraId="642A34D9"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Interactive filtering: </w:t>
            </w:r>
            <w:r>
              <w:rPr>
                <w:rFonts w:ascii="Times New Roman" w:eastAsia="Times New Roman" w:hAnsi="Times New Roman" w:cs="Times New Roman"/>
                <w:sz w:val="24"/>
                <w:szCs w:val="24"/>
              </w:rPr>
              <w:t>dropdown slicers for gender, region, engagement level, performance level, risk level and final result update every visual.</w:t>
            </w:r>
          </w:p>
          <w:p w14:paraId="423A442B"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Engagement and performance insights: </w:t>
            </w:r>
            <w:r>
              <w:rPr>
                <w:rFonts w:ascii="Times New Roman" w:eastAsia="Times New Roman" w:hAnsi="Times New Roman" w:cs="Times New Roman"/>
                <w:sz w:val="24"/>
                <w:szCs w:val="24"/>
              </w:rPr>
              <w:t>compares average score and clicks across High, Medium and Low engagement and performance groups.</w:t>
            </w:r>
          </w:p>
          <w:p w14:paraId="50560F92"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Risk and dropout analysis: </w:t>
            </w:r>
            <w:r>
              <w:rPr>
                <w:rFonts w:ascii="Times New Roman" w:eastAsia="Times New Roman" w:hAnsi="Times New Roman" w:cs="Times New Roman"/>
                <w:sz w:val="24"/>
                <w:szCs w:val="24"/>
              </w:rPr>
              <w:t xml:space="preserve">dropout rate and pass rate by highest education, students by risk level (Very High, High, Low, Safe) and </w:t>
            </w:r>
            <w:r>
              <w:rPr>
                <w:rFonts w:ascii="Times New Roman" w:eastAsia="Times New Roman" w:hAnsi="Times New Roman" w:cs="Times New Roman"/>
                <w:sz w:val="24"/>
                <w:szCs w:val="24"/>
              </w:rPr>
              <w:lastRenderedPageBreak/>
              <w:t>final results by gender.</w:t>
            </w:r>
          </w:p>
          <w:p w14:paraId="10A027BD" w14:textId="77777777" w:rsidR="00E75245" w:rsidRDefault="00000000">
            <w:pPr>
              <w:pBdr>
                <w:top w:val="nil"/>
                <w:left w:val="nil"/>
                <w:bottom w:val="nil"/>
                <w:right w:val="nil"/>
                <w:between w:val="nil"/>
              </w:pBdr>
              <w:spacing w:after="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Drill-down and Q&amp;A: </w:t>
            </w:r>
            <w:r>
              <w:rPr>
                <w:rFonts w:ascii="Times New Roman" w:eastAsia="Times New Roman" w:hAnsi="Times New Roman" w:cs="Times New Roman"/>
                <w:sz w:val="24"/>
                <w:szCs w:val="24"/>
              </w:rPr>
              <w:t>decomposition trees break students down by risk, education, gender, region and engagement, and a Q&amp;A visual answers questions in plain language.</w:t>
            </w:r>
          </w:p>
        </w:tc>
      </w:tr>
    </w:tbl>
    <w:p w14:paraId="72C8C47F" w14:textId="77777777" w:rsidR="00E75245" w:rsidRDefault="00E75245">
      <w:pPr>
        <w:widowControl/>
        <w:spacing w:after="160" w:line="120" w:lineRule="auto"/>
        <w:rPr>
          <w:rFonts w:ascii="Times New Roman" w:eastAsia="Times New Roman" w:hAnsi="Times New Roman" w:cs="Times New Roman"/>
          <w:sz w:val="24"/>
          <w:szCs w:val="24"/>
        </w:rPr>
      </w:pPr>
    </w:p>
    <w:p w14:paraId="1B273872" w14:textId="77777777" w:rsidR="00E7524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75245" w14:paraId="1DA423D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AAD2E14"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0CD85BC"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79080A6"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E75245" w14:paraId="1757418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ED5A7"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E75245" w14:paraId="6B2C17D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78E9E7"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1F5F1"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351325"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 or desktop with a multi-core CPU (e.g., Intel Core i5, 4 cores); no GPU required</w:t>
            </w:r>
          </w:p>
        </w:tc>
      </w:tr>
      <w:tr w:rsidR="00E75245" w14:paraId="1BEF7B1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9B125C"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1C0E16"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556AD0"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E75245" w14:paraId="57B2524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52E14C"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A11AC"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4F75B"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 (the 32,593-row dataset, SQL scripts and Power BI file are small)</w:t>
            </w:r>
          </w:p>
        </w:tc>
      </w:tr>
      <w:tr w:rsidR="00E75245" w14:paraId="1772D7FA"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0B16B4"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E75245" w14:paraId="1BF7E44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D44A8B"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C7D3B"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and BI platform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9D05E4"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 (database), Power BI Desktop (dashboard); no Python framework used</w:t>
            </w:r>
          </w:p>
        </w:tc>
      </w:tr>
      <w:tr w:rsidR="00E75245" w14:paraId="4C05994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FD5994"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6237D2"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Connectors and calculation language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04177B"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 connector for Power BI, DAX measures; no additional Python libraries</w:t>
            </w:r>
          </w:p>
        </w:tc>
      </w:tr>
      <w:tr w:rsidR="00E75245" w14:paraId="2D66778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54F13"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473410"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A53171"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MySQL Workbench (SQL), Power BI Desktop (report authoring)</w:t>
            </w:r>
          </w:p>
        </w:tc>
      </w:tr>
      <w:tr w:rsidR="00E75245" w14:paraId="0BC00B2D"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04F1E0" w14:textId="77777777" w:rsidR="00E752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E75245" w14:paraId="4C40ECF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966EE"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6EB166"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984FF9" w14:textId="77777777" w:rsidR="00E752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education student dataset (CSV) loaded into MySQL table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32,593 rows, 14 columns</w:t>
            </w:r>
          </w:p>
        </w:tc>
      </w:tr>
    </w:tbl>
    <w:p w14:paraId="71CF4340" w14:textId="77777777" w:rsidR="00E75245" w:rsidRDefault="00E75245">
      <w:pPr>
        <w:widowControl/>
        <w:spacing w:after="160" w:line="259" w:lineRule="auto"/>
        <w:rPr>
          <w:rFonts w:ascii="Times New Roman" w:eastAsia="Times New Roman" w:hAnsi="Times New Roman" w:cs="Times New Roman"/>
          <w:sz w:val="24"/>
          <w:szCs w:val="24"/>
        </w:rPr>
      </w:pPr>
    </w:p>
    <w:p w14:paraId="3753DCB2" w14:textId="77777777" w:rsidR="00E75245" w:rsidRDefault="00E75245">
      <w:pPr>
        <w:widowControl/>
        <w:spacing w:after="160" w:line="259" w:lineRule="auto"/>
        <w:rPr>
          <w:rFonts w:ascii="Times New Roman" w:eastAsia="Times New Roman" w:hAnsi="Times New Roman" w:cs="Times New Roman"/>
        </w:rPr>
      </w:pPr>
    </w:p>
    <w:sectPr w:rsidR="00E7524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5801B" w14:textId="77777777" w:rsidR="00176FDF" w:rsidRDefault="00176FDF">
      <w:r>
        <w:separator/>
      </w:r>
    </w:p>
  </w:endnote>
  <w:endnote w:type="continuationSeparator" w:id="0">
    <w:p w14:paraId="25BE5A88" w14:textId="77777777" w:rsidR="00176FDF" w:rsidRDefault="0017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6F4ED600-53B3-4568-B633-079004ACA005}"/>
    <w:embedBold r:id="rId2" w:fontKey="{209BFC57-D75B-4528-B733-BCDC251A22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0816A19-F1C5-42C9-99E7-D24FD0A26C82}"/>
  </w:font>
  <w:font w:name="Cambria">
    <w:panose1 w:val="02040503050406030204"/>
    <w:charset w:val="00"/>
    <w:family w:val="roman"/>
    <w:pitch w:val="variable"/>
    <w:sig w:usb0="E00006FF" w:usb1="420024FF" w:usb2="02000000" w:usb3="00000000" w:csb0="0000019F" w:csb1="00000000"/>
    <w:embedRegular r:id="rId4" w:fontKey="{A28253F1-8C78-4D87-84E4-FF6F6A5CC4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3BF3" w14:textId="77777777" w:rsidR="00176FDF" w:rsidRDefault="00176FDF">
      <w:r>
        <w:separator/>
      </w:r>
    </w:p>
  </w:footnote>
  <w:footnote w:type="continuationSeparator" w:id="0">
    <w:p w14:paraId="2A9CE7CC" w14:textId="77777777" w:rsidR="00176FDF" w:rsidRDefault="00176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666E9" w14:textId="1F3ACE08" w:rsidR="00E75245" w:rsidRDefault="00E75245">
    <w:pPr>
      <w:jc w:val="both"/>
    </w:pPr>
  </w:p>
  <w:p w14:paraId="5456D016" w14:textId="77777777" w:rsidR="00E75245" w:rsidRDefault="00E75245"/>
  <w:p w14:paraId="2179B4DC" w14:textId="77777777" w:rsidR="00E75245" w:rsidRDefault="00E7524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45"/>
    <w:rsid w:val="00176FDF"/>
    <w:rsid w:val="007F634F"/>
    <w:rsid w:val="00E1056F"/>
    <w:rsid w:val="00E75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180A"/>
  <w15:docId w15:val="{C1CF7B3B-F114-4F04-A9AE-875E65DD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E1056F"/>
    <w:pPr>
      <w:tabs>
        <w:tab w:val="center" w:pos="4513"/>
        <w:tab w:val="right" w:pos="9026"/>
      </w:tabs>
    </w:pPr>
  </w:style>
  <w:style w:type="character" w:customStyle="1" w:styleId="HeaderChar">
    <w:name w:val="Header Char"/>
    <w:basedOn w:val="DefaultParagraphFont"/>
    <w:link w:val="Header"/>
    <w:uiPriority w:val="99"/>
    <w:rsid w:val="00E1056F"/>
  </w:style>
  <w:style w:type="paragraph" w:styleId="Footer">
    <w:name w:val="footer"/>
    <w:basedOn w:val="Normal"/>
    <w:link w:val="FooterChar"/>
    <w:uiPriority w:val="99"/>
    <w:unhideWhenUsed/>
    <w:rsid w:val="00E1056F"/>
    <w:pPr>
      <w:tabs>
        <w:tab w:val="center" w:pos="4513"/>
        <w:tab w:val="right" w:pos="9026"/>
      </w:tabs>
    </w:pPr>
  </w:style>
  <w:style w:type="character" w:customStyle="1" w:styleId="FooterChar">
    <w:name w:val="Footer Char"/>
    <w:basedOn w:val="DefaultParagraphFont"/>
    <w:link w:val="Footer"/>
    <w:uiPriority w:val="99"/>
    <w:rsid w:val="00E10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740</Words>
  <Characters>4221</Characters>
  <Application>Microsoft Office Word</Application>
  <DocSecurity>0</DocSecurity>
  <Lines>35</Lines>
  <Paragraphs>9</Paragraphs>
  <ScaleCrop>false</ScaleCrop>
  <Company>Sri Padmavati Mahila Visvavidyalayam</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2</cp:revision>
  <dcterms:created xsi:type="dcterms:W3CDTF">2026-09-19T10:27:00Z</dcterms:created>
  <dcterms:modified xsi:type="dcterms:W3CDTF">2026-09-19T10:27:00Z</dcterms:modified>
</cp:coreProperties>
</file>