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1C0D2" w14:textId="4949061F" w:rsidR="00480AE9" w:rsidRDefault="00000000">
      <w:pPr>
        <w:rPr>
          <w:rFonts w:ascii="Cambria" w:eastAsia="Cambria" w:hAnsi="Cambria" w:cs="Cambria"/>
          <w:b/>
          <w:bCs/>
          <w:sz w:val="32"/>
          <w:szCs w:val="32"/>
          <w:highlight w:val="white"/>
        </w:rPr>
      </w:pPr>
      <w:r>
        <w:rPr>
          <w:rFonts w:ascii="Cambria" w:eastAsia="Cambria" w:hAnsi="Cambria" w:cs="Cambria"/>
          <w:b/>
          <w:bCs/>
          <w:color w:val="000000"/>
          <w:sz w:val="32"/>
          <w:szCs w:val="32"/>
          <w:highlight w:val="white"/>
        </w:rPr>
        <w:t xml:space="preserve">                                      Dashboard Design</w:t>
      </w:r>
    </w:p>
    <w:p w14:paraId="0A4EFB47" w14:textId="77777777" w:rsidR="00480AE9" w:rsidRDefault="00480AE9">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480AE9" w14:paraId="7FB2AE5B" w14:textId="77777777">
        <w:trPr>
          <w:trHeight w:val="278"/>
        </w:trPr>
        <w:tc>
          <w:tcPr>
            <w:tcW w:w="4507" w:type="dxa"/>
            <w:shd w:val="clear" w:color="auto" w:fill="auto"/>
            <w:tcMar>
              <w:top w:w="100" w:type="dxa"/>
              <w:left w:w="100" w:type="dxa"/>
              <w:bottom w:w="100" w:type="dxa"/>
              <w:right w:w="100" w:type="dxa"/>
            </w:tcMar>
          </w:tcPr>
          <w:p w14:paraId="622CCB18" w14:textId="77777777" w:rsidR="00480AE9" w:rsidRDefault="00000000">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14:paraId="6B784317" w14:textId="01B2D5D3" w:rsidR="00480AE9" w:rsidRDefault="004F23F6">
            <w:pPr>
              <w:widowControl w:val="0"/>
              <w:spacing w:after="0" w:line="240" w:lineRule="auto"/>
              <w:ind w:left="131"/>
            </w:pPr>
            <w:r>
              <w:t>MCA</w:t>
            </w:r>
          </w:p>
        </w:tc>
      </w:tr>
      <w:tr w:rsidR="00480AE9" w14:paraId="29CD09A9" w14:textId="77777777">
        <w:trPr>
          <w:trHeight w:val="278"/>
        </w:trPr>
        <w:tc>
          <w:tcPr>
            <w:tcW w:w="4507" w:type="dxa"/>
            <w:shd w:val="clear" w:color="auto" w:fill="auto"/>
            <w:tcMar>
              <w:top w:w="100" w:type="dxa"/>
              <w:left w:w="100" w:type="dxa"/>
              <w:bottom w:w="100" w:type="dxa"/>
              <w:right w:w="100" w:type="dxa"/>
            </w:tcMar>
          </w:tcPr>
          <w:p w14:paraId="04D7D392" w14:textId="77777777" w:rsidR="00480AE9" w:rsidRDefault="00000000">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14:paraId="66DC3AEA" w14:textId="77777777" w:rsidR="00480AE9" w:rsidRDefault="00000000">
            <w:pPr>
              <w:widowControl w:val="0"/>
              <w:spacing w:after="0" w:line="240" w:lineRule="auto"/>
              <w:ind w:left="131"/>
            </w:pPr>
            <w:r>
              <w:t>Online Education Analytics Dashboard – Student Performance, Engagement &amp; Dropout Analysis</w:t>
            </w:r>
          </w:p>
        </w:tc>
      </w:tr>
      <w:tr w:rsidR="00480AE9" w14:paraId="138C4684" w14:textId="77777777">
        <w:trPr>
          <w:trHeight w:val="278"/>
        </w:trPr>
        <w:tc>
          <w:tcPr>
            <w:tcW w:w="4507" w:type="dxa"/>
            <w:shd w:val="clear" w:color="auto" w:fill="auto"/>
            <w:tcMar>
              <w:top w:w="100" w:type="dxa"/>
              <w:left w:w="100" w:type="dxa"/>
              <w:bottom w:w="100" w:type="dxa"/>
              <w:right w:w="100" w:type="dxa"/>
            </w:tcMar>
          </w:tcPr>
          <w:p w14:paraId="39F86C64" w14:textId="77777777" w:rsidR="00480AE9" w:rsidRDefault="00000000">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14:paraId="0A63038F" w14:textId="77777777" w:rsidR="00480AE9" w:rsidRDefault="00000000">
            <w:pPr>
              <w:widowControl w:val="0"/>
              <w:spacing w:after="0" w:line="240" w:lineRule="auto"/>
              <w:ind w:left="125"/>
            </w:pPr>
            <w:proofErr w:type="gramStart"/>
            <w:r>
              <w:t>5  Marks</w:t>
            </w:r>
            <w:proofErr w:type="gramEnd"/>
          </w:p>
        </w:tc>
      </w:tr>
    </w:tbl>
    <w:p w14:paraId="0779E6F6" w14:textId="77777777" w:rsidR="00480AE9" w:rsidRDefault="00480AE9">
      <w:pPr>
        <w:widowControl w:val="0"/>
        <w:spacing w:after="0" w:line="276" w:lineRule="auto"/>
        <w:rPr>
          <w:rFonts w:ascii="Cambria" w:eastAsia="Cambria" w:hAnsi="Cambria" w:cs="Cambria"/>
          <w:b/>
          <w:bCs/>
          <w:sz w:val="32"/>
          <w:szCs w:val="32"/>
          <w:highlight w:val="white"/>
        </w:rPr>
      </w:pPr>
    </w:p>
    <w:p w14:paraId="6A9E16E6" w14:textId="77777777" w:rsidR="00480AE9"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4DE163D9" w14:textId="77777777" w:rsidR="00480AE9"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5AC0640E" w14:textId="77777777" w:rsidR="00480AE9"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w:t>
      </w:r>
      <w:proofErr w:type="gramStart"/>
      <w:r>
        <w:rPr>
          <w:rFonts w:ascii="Cambria" w:eastAsia="Cambria" w:hAnsi="Cambria" w:cs="Cambria"/>
          <w:color w:val="000000"/>
          <w:sz w:val="24"/>
          <w:szCs w:val="24"/>
          <w:highlight w:val="white"/>
        </w:rPr>
        <w:t>users  so</w:t>
      </w:r>
      <w:proofErr w:type="gramEnd"/>
      <w:r>
        <w:rPr>
          <w:rFonts w:ascii="Cambria" w:eastAsia="Cambria" w:hAnsi="Cambria" w:cs="Cambria"/>
          <w:color w:val="000000"/>
          <w:sz w:val="24"/>
          <w:szCs w:val="24"/>
          <w:highlight w:val="white"/>
        </w:rPr>
        <w:t xml:space="preserve"> take care of below points</w:t>
      </w:r>
    </w:p>
    <w:p w14:paraId="21CB6054"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123B37EE"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04DD6EE5"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3DF3FAF8"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53EFC346"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302343B3"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53E8F9C0" w14:textId="77777777" w:rsidR="00480AE9"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2BC21EC8" w14:textId="77777777" w:rsidR="00480AE9" w:rsidRDefault="00000000">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5123A4F0" w14:textId="77777777" w:rsidR="00480AE9" w:rsidRDefault="00480AE9">
      <w:pPr>
        <w:pBdr>
          <w:top w:val="nil"/>
          <w:left w:val="nil"/>
          <w:bottom w:val="nil"/>
          <w:right w:val="nil"/>
          <w:between w:val="nil"/>
        </w:pBdr>
        <w:spacing w:line="240" w:lineRule="auto"/>
        <w:ind w:left="1080"/>
        <w:rPr>
          <w:rFonts w:ascii="Arial" w:eastAsia="Arial" w:hAnsi="Arial" w:cs="Arial"/>
          <w:color w:val="333333"/>
          <w:sz w:val="20"/>
          <w:szCs w:val="20"/>
        </w:rPr>
      </w:pPr>
    </w:p>
    <w:p w14:paraId="5F7B7390" w14:textId="77777777" w:rsidR="00480AE9" w:rsidRDefault="00000000">
      <w:pPr>
        <w:pageBreakBefore/>
        <w:spacing w:after="200" w:line="240" w:lineRule="auto"/>
        <w:rPr>
          <w:rFonts w:ascii="Arial" w:eastAsia="Arial" w:hAnsi="Arial" w:cs="Arial"/>
          <w:sz w:val="20"/>
          <w:szCs w:val="20"/>
        </w:rPr>
      </w:pPr>
      <w:r>
        <w:rPr>
          <w:noProof/>
        </w:rPr>
        <w:lastRenderedPageBreak/>
        <w:drawing>
          <wp:inline distT="0" distB="0" distL="0" distR="0" wp14:anchorId="57B34F01" wp14:editId="14EAD0E0">
            <wp:extent cx="5731510" cy="241137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2411373"/>
                    </a:xfrm>
                    <a:prstGeom prst="rect">
                      <a:avLst/>
                    </a:prstGeom>
                    <a:ln/>
                  </pic:spPr>
                </pic:pic>
              </a:graphicData>
            </a:graphic>
          </wp:inline>
        </w:drawing>
      </w:r>
    </w:p>
    <w:p w14:paraId="1E0D3621" w14:textId="77777777" w:rsidR="00480AE9" w:rsidRDefault="00000000">
      <w:pPr>
        <w:keepNext/>
        <w:spacing w:after="120" w:line="240" w:lineRule="auto"/>
      </w:pPr>
      <w:r>
        <w:rPr>
          <w:b/>
          <w:bCs/>
          <w:sz w:val="24"/>
          <w:szCs w:val="24"/>
        </w:rPr>
        <w:t>Major Outcomes</w:t>
      </w:r>
    </w:p>
    <w:p w14:paraId="7BE24928" w14:textId="77777777" w:rsidR="00480AE9" w:rsidRDefault="00000000">
      <w:pPr>
        <w:keepNext/>
        <w:spacing w:after="200" w:line="240" w:lineRule="auto"/>
      </w:pPr>
      <w:r>
        <w:t>Here are the major outcomes from the Online Education Analytics dashboard image provided:</w:t>
      </w:r>
    </w:p>
    <w:p w14:paraId="331D7413" w14:textId="77777777" w:rsidR="00480AE9" w:rsidRDefault="00000000">
      <w:pPr>
        <w:numPr>
          <w:ilvl w:val="0"/>
          <w:numId w:val="2"/>
        </w:numPr>
        <w:spacing w:after="200" w:line="240" w:lineRule="auto"/>
      </w:pPr>
      <w:r>
        <w:rPr>
          <w:b/>
          <w:bCs/>
        </w:rPr>
        <w:t>Total Students</w:t>
      </w:r>
      <w:r>
        <w:t xml:space="preserve">: The dashboard analyses </w:t>
      </w:r>
      <w:r>
        <w:rPr>
          <w:b/>
          <w:bCs/>
        </w:rPr>
        <w:t>26K learners (26,073 unique students)</w:t>
      </w:r>
      <w:r>
        <w:t>, giving the overall size of the online-education population covered.</w:t>
      </w:r>
    </w:p>
    <w:p w14:paraId="0BFAD027" w14:textId="77777777" w:rsidR="00480AE9" w:rsidRDefault="00000000">
      <w:pPr>
        <w:numPr>
          <w:ilvl w:val="0"/>
          <w:numId w:val="2"/>
        </w:numPr>
        <w:spacing w:after="200" w:line="240" w:lineRule="auto"/>
      </w:pPr>
      <w:r>
        <w:rPr>
          <w:b/>
          <w:bCs/>
        </w:rPr>
        <w:t>Dropout Rate</w:t>
      </w:r>
      <w:r>
        <w:t xml:space="preserve">: The overall dropout rate is </w:t>
      </w:r>
      <w:r>
        <w:rPr>
          <w:b/>
          <w:bCs/>
        </w:rPr>
        <w:t>0.26 (about 26%)</w:t>
      </w:r>
      <w:r>
        <w:t>, meaning roughly one in four learners leaves the course before completion.</w:t>
      </w:r>
    </w:p>
    <w:p w14:paraId="30101414" w14:textId="77777777" w:rsidR="00480AE9" w:rsidRDefault="00000000">
      <w:pPr>
        <w:numPr>
          <w:ilvl w:val="0"/>
          <w:numId w:val="2"/>
        </w:numPr>
        <w:spacing w:after="200" w:line="240" w:lineRule="auto"/>
      </w:pPr>
      <w:r>
        <w:rPr>
          <w:b/>
          <w:bCs/>
        </w:rPr>
        <w:t>Average Score</w:t>
      </w:r>
      <w:r>
        <w:t xml:space="preserve">: Learners achieve an average assessment score of </w:t>
      </w:r>
      <w:r>
        <w:rPr>
          <w:b/>
          <w:bCs/>
        </w:rPr>
        <w:t>72.84</w:t>
      </w:r>
      <w:r>
        <w:t>, a healthy overall benchmark for student performance.</w:t>
      </w:r>
    </w:p>
    <w:p w14:paraId="73DF07AC" w14:textId="77777777" w:rsidR="00480AE9" w:rsidRDefault="00000000">
      <w:pPr>
        <w:numPr>
          <w:ilvl w:val="0"/>
          <w:numId w:val="2"/>
        </w:numPr>
        <w:spacing w:after="200" w:line="240" w:lineRule="auto"/>
      </w:pPr>
      <w:r>
        <w:rPr>
          <w:b/>
          <w:bCs/>
        </w:rPr>
        <w:t>Engagement (Clicks)</w:t>
      </w:r>
      <w:r>
        <w:t xml:space="preserve">: </w:t>
      </w:r>
      <w:proofErr w:type="gramStart"/>
      <w:r>
        <w:t>Learners</w:t>
      </w:r>
      <w:proofErr w:type="gramEnd"/>
      <w:r>
        <w:t xml:space="preserve"> average </w:t>
      </w:r>
      <w:r>
        <w:rPr>
          <w:b/>
          <w:bCs/>
        </w:rPr>
        <w:t>1.62K clicks</w:t>
      </w:r>
      <w:r>
        <w:t xml:space="preserve">, but activity is very uneven – </w:t>
      </w:r>
      <w:r>
        <w:rPr>
          <w:b/>
          <w:bCs/>
        </w:rPr>
        <w:t>High-engagement learners average 3.7K clicks versus 0.9K (Medium) and 0.2K (Low)</w:t>
      </w:r>
      <w:r>
        <w:t>.</w:t>
      </w:r>
    </w:p>
    <w:p w14:paraId="4E364B78" w14:textId="77777777" w:rsidR="00480AE9" w:rsidRDefault="00000000">
      <w:pPr>
        <w:numPr>
          <w:ilvl w:val="0"/>
          <w:numId w:val="2"/>
        </w:numPr>
        <w:spacing w:after="200" w:line="240" w:lineRule="auto"/>
      </w:pPr>
      <w:r>
        <w:rPr>
          <w:b/>
          <w:bCs/>
        </w:rPr>
        <w:t>Pass Rate &amp; Final Results</w:t>
      </w:r>
      <w:r>
        <w:t xml:space="preserve">: The pass rate is </w:t>
      </w:r>
      <w:r>
        <w:rPr>
          <w:b/>
          <w:bCs/>
        </w:rPr>
        <w:t>0.52</w:t>
      </w:r>
      <w:r>
        <w:t xml:space="preserve">. In the results donut, </w:t>
      </w:r>
      <w:r>
        <w:rPr>
          <w:b/>
          <w:bCs/>
        </w:rPr>
        <w:t>Pass is the largest group (12K, 42.37%)</w:t>
      </w:r>
      <w:r>
        <w:t>, followed by Withdrawn (7K, 24.15%), Fail (6K, 23.13%) and Distinction (3K, 10.35%).</w:t>
      </w:r>
    </w:p>
    <w:p w14:paraId="13FA0959" w14:textId="77777777" w:rsidR="00480AE9" w:rsidRDefault="00000000">
      <w:pPr>
        <w:numPr>
          <w:ilvl w:val="0"/>
          <w:numId w:val="2"/>
        </w:numPr>
        <w:spacing w:after="200" w:line="240" w:lineRule="auto"/>
      </w:pPr>
      <w:r>
        <w:rPr>
          <w:b/>
          <w:bCs/>
        </w:rPr>
        <w:t>Regional Distribution</w:t>
      </w:r>
      <w:r>
        <w:t xml:space="preserve">: Student numbers are highest in </w:t>
      </w:r>
      <w:r>
        <w:rPr>
          <w:b/>
          <w:bCs/>
        </w:rPr>
        <w:t>Scotland and the East Anglian Region (about 2.7K each)</w:t>
      </w:r>
      <w:r>
        <w:t xml:space="preserve"> and lowest in </w:t>
      </w:r>
      <w:r>
        <w:rPr>
          <w:b/>
          <w:bCs/>
        </w:rPr>
        <w:t>Ireland (about 1.0K)</w:t>
      </w:r>
      <w:r>
        <w:t>, helping to target regional support.</w:t>
      </w:r>
    </w:p>
    <w:p w14:paraId="7A454B22" w14:textId="77777777" w:rsidR="00480AE9" w:rsidRDefault="00000000">
      <w:pPr>
        <w:numPr>
          <w:ilvl w:val="0"/>
          <w:numId w:val="2"/>
        </w:numPr>
        <w:spacing w:after="200" w:line="240" w:lineRule="auto"/>
      </w:pPr>
      <w:r>
        <w:rPr>
          <w:b/>
          <w:bCs/>
        </w:rPr>
        <w:t>Engagement and Performance Drive Scores</w:t>
      </w:r>
      <w:r>
        <w:t xml:space="preserve">: Average score rises with engagement (roughly </w:t>
      </w:r>
      <w:r>
        <w:rPr>
          <w:b/>
          <w:bCs/>
        </w:rPr>
        <w:t>78 High, 72 Medium, 66 Low</w:t>
      </w:r>
      <w:r>
        <w:t xml:space="preserve">) and even more sharply with performance level (roughly </w:t>
      </w:r>
      <w:r>
        <w:rPr>
          <w:b/>
          <w:bCs/>
        </w:rPr>
        <w:t>80 High, 62 Medium, 38 Low</w:t>
      </w:r>
      <w:r>
        <w:t>).</w:t>
      </w:r>
    </w:p>
    <w:p w14:paraId="4F605335" w14:textId="77777777" w:rsidR="00480AE9" w:rsidRDefault="00000000">
      <w:pPr>
        <w:numPr>
          <w:ilvl w:val="0"/>
          <w:numId w:val="2"/>
        </w:numPr>
        <w:spacing w:after="200" w:line="240" w:lineRule="auto"/>
      </w:pPr>
      <w:r>
        <w:rPr>
          <w:b/>
          <w:bCs/>
        </w:rPr>
        <w:t>Interactive Exploration</w:t>
      </w:r>
      <w:r>
        <w:t xml:space="preserve">: Dropdown slicers for </w:t>
      </w:r>
      <w:r>
        <w:rPr>
          <w:b/>
          <w:bCs/>
        </w:rPr>
        <w:t>gender, region, engagement level, performance level, risk level and final result</w:t>
      </w:r>
      <w:r>
        <w:t>, plus a Q&amp;A visual, let users filter every chart and ask questions of the data in natural language.</w:t>
      </w:r>
    </w:p>
    <w:p w14:paraId="3D64FBD6" w14:textId="77777777" w:rsidR="00480AE9" w:rsidRDefault="00000000">
      <w:pPr>
        <w:keepNext/>
        <w:pageBreakBefore/>
        <w:spacing w:after="120" w:line="240" w:lineRule="auto"/>
      </w:pPr>
      <w:r>
        <w:rPr>
          <w:b/>
          <w:bCs/>
          <w:sz w:val="24"/>
          <w:szCs w:val="24"/>
        </w:rPr>
        <w:lastRenderedPageBreak/>
        <w:t>Supporting Report Pages</w:t>
      </w:r>
    </w:p>
    <w:p w14:paraId="661E0394" w14:textId="77777777" w:rsidR="00480AE9" w:rsidRDefault="00000000">
      <w:pPr>
        <w:spacing w:after="200" w:line="240" w:lineRule="auto"/>
      </w:pPr>
      <w:r>
        <w:t>The dashboard is backed by three drill-down report pages built in the same Power BI file; their key findings are summarised below.</w:t>
      </w:r>
    </w:p>
    <w:p w14:paraId="287C1F81" w14:textId="77777777" w:rsidR="00480AE9" w:rsidRDefault="00000000">
      <w:pPr>
        <w:keepNext/>
        <w:spacing w:before="120" w:after="100" w:line="240" w:lineRule="auto"/>
      </w:pPr>
      <w:r>
        <w:rPr>
          <w:b/>
          <w:bCs/>
        </w:rPr>
        <w:t>A. Risk, Dropout &amp; Demographic Analysis</w:t>
      </w:r>
    </w:p>
    <w:p w14:paraId="3CD1706E" w14:textId="77777777" w:rsidR="00480AE9" w:rsidRDefault="00000000">
      <w:pPr>
        <w:keepNext/>
        <w:spacing w:line="240" w:lineRule="auto"/>
      </w:pPr>
      <w:r>
        <w:rPr>
          <w:noProof/>
        </w:rPr>
        <w:drawing>
          <wp:inline distT="0" distB="0" distL="0" distR="0" wp14:anchorId="0F5BF05A" wp14:editId="55207167">
            <wp:extent cx="5200000" cy="2347853"/>
            <wp:effectExtent l="0" t="0" r="0" b="0"/>
            <wp:docPr id="6" name="image3.png" descr="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200000" cy="2347853"/>
                    </a:xfrm>
                    <a:prstGeom prst="rect">
                      <a:avLst/>
                    </a:prstGeom>
                    <a:ln/>
                  </pic:spPr>
                </pic:pic>
              </a:graphicData>
            </a:graphic>
          </wp:inline>
        </w:drawing>
      </w:r>
    </w:p>
    <w:p w14:paraId="49D2FA43" w14:textId="77777777" w:rsidR="00480AE9" w:rsidRDefault="00000000">
      <w:pPr>
        <w:numPr>
          <w:ilvl w:val="0"/>
          <w:numId w:val="1"/>
        </w:numPr>
        <w:spacing w:after="100" w:line="240" w:lineRule="auto"/>
        <w:ind w:left="720"/>
      </w:pPr>
      <w:r>
        <w:rPr>
          <w:b/>
          <w:bCs/>
        </w:rPr>
        <w:t xml:space="preserve">Education level matters: </w:t>
      </w:r>
      <w:r>
        <w:t xml:space="preserve">dropout rate falls steadily from </w:t>
      </w:r>
      <w:r>
        <w:rPr>
          <w:b/>
          <w:bCs/>
        </w:rPr>
        <w:t>0.373 (No Formal quals)</w:t>
      </w:r>
      <w:r>
        <w:t xml:space="preserve"> to </w:t>
      </w:r>
      <w:r>
        <w:rPr>
          <w:b/>
          <w:bCs/>
        </w:rPr>
        <w:t>0.219 (Post Graduate)</w:t>
      </w:r>
      <w:r>
        <w:t>; pass rate mirrors it, highest for Post Graduate learners and lowest for those with no formal qualifications.</w:t>
      </w:r>
    </w:p>
    <w:p w14:paraId="3DD7AF10" w14:textId="77777777" w:rsidR="00480AE9" w:rsidRDefault="00000000">
      <w:pPr>
        <w:numPr>
          <w:ilvl w:val="0"/>
          <w:numId w:val="1"/>
        </w:numPr>
        <w:spacing w:after="100" w:line="240" w:lineRule="auto"/>
        <w:ind w:left="720"/>
      </w:pPr>
      <w:r>
        <w:rPr>
          <w:b/>
          <w:bCs/>
        </w:rPr>
        <w:t xml:space="preserve">Risk is evenly spread: </w:t>
      </w:r>
      <w:r>
        <w:t xml:space="preserve">Very High Risk (26.66%) and High Risk (25.72%) together account for </w:t>
      </w:r>
      <w:r>
        <w:rPr>
          <w:b/>
          <w:bCs/>
        </w:rPr>
        <w:t>over half of all learners</w:t>
      </w:r>
      <w:r>
        <w:t>, versus Low Risk (24.53%) and Safe (23.09%).</w:t>
      </w:r>
    </w:p>
    <w:p w14:paraId="1663C0AC" w14:textId="77777777" w:rsidR="00480AE9" w:rsidRDefault="00000000">
      <w:pPr>
        <w:numPr>
          <w:ilvl w:val="0"/>
          <w:numId w:val="1"/>
        </w:numPr>
        <w:spacing w:after="100" w:line="240" w:lineRule="auto"/>
        <w:ind w:left="720"/>
      </w:pPr>
      <w:r>
        <w:rPr>
          <w:b/>
          <w:bCs/>
        </w:rPr>
        <w:t xml:space="preserve">Gender gap: </w:t>
      </w:r>
      <w:r>
        <w:t>female learners pass more often (44.40% vs 40.70%) and withdraw less (22.18% vs 25.78%) than male learners.</w:t>
      </w:r>
    </w:p>
    <w:p w14:paraId="0BE34162" w14:textId="77777777" w:rsidR="00480AE9" w:rsidRDefault="00000000">
      <w:pPr>
        <w:keepNext/>
        <w:pageBreakBefore/>
        <w:spacing w:before="120" w:after="100" w:line="240" w:lineRule="auto"/>
      </w:pPr>
      <w:r>
        <w:rPr>
          <w:b/>
          <w:bCs/>
        </w:rPr>
        <w:lastRenderedPageBreak/>
        <w:t>B. Student Performance &amp; Engagement Overview</w:t>
      </w:r>
    </w:p>
    <w:p w14:paraId="284FF73D" w14:textId="77777777" w:rsidR="00480AE9" w:rsidRDefault="00000000">
      <w:pPr>
        <w:keepNext/>
        <w:spacing w:line="240" w:lineRule="auto"/>
      </w:pPr>
      <w:r>
        <w:rPr>
          <w:noProof/>
        </w:rPr>
        <w:drawing>
          <wp:inline distT="0" distB="0" distL="0" distR="0" wp14:anchorId="58AB6BE9" wp14:editId="4357AE46">
            <wp:extent cx="5200000" cy="2235748"/>
            <wp:effectExtent l="0" t="0" r="0" b="0"/>
            <wp:docPr id="7" name="image4.png" descr="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200000" cy="2235748"/>
                    </a:xfrm>
                    <a:prstGeom prst="rect">
                      <a:avLst/>
                    </a:prstGeom>
                    <a:ln/>
                  </pic:spPr>
                </pic:pic>
              </a:graphicData>
            </a:graphic>
          </wp:inline>
        </w:drawing>
      </w:r>
    </w:p>
    <w:p w14:paraId="1ECCA033" w14:textId="77777777" w:rsidR="00480AE9" w:rsidRDefault="00000000">
      <w:pPr>
        <w:numPr>
          <w:ilvl w:val="0"/>
          <w:numId w:val="1"/>
        </w:numPr>
        <w:spacing w:after="100" w:line="240" w:lineRule="auto"/>
        <w:ind w:left="720"/>
      </w:pPr>
      <w:r>
        <w:rPr>
          <w:b/>
          <w:bCs/>
        </w:rPr>
        <w:t xml:space="preserve">Region is not a strong driver of scores: </w:t>
      </w:r>
      <w:r>
        <w:t>average score is almost flat across all regions, sitting in the low-to-mid 70s.</w:t>
      </w:r>
    </w:p>
    <w:p w14:paraId="2B2A917B" w14:textId="77777777" w:rsidR="00480AE9" w:rsidRDefault="00000000">
      <w:pPr>
        <w:numPr>
          <w:ilvl w:val="0"/>
          <w:numId w:val="1"/>
        </w:numPr>
        <w:spacing w:after="100" w:line="240" w:lineRule="auto"/>
        <w:ind w:left="720"/>
      </w:pPr>
      <w:r>
        <w:rPr>
          <w:b/>
          <w:bCs/>
        </w:rPr>
        <w:t xml:space="preserve">Engagement mix: </w:t>
      </w:r>
      <w:r>
        <w:t xml:space="preserve">Low 35.32%, Medium 33.56% and High 31.12% of students – yet </w:t>
      </w:r>
      <w:r>
        <w:rPr>
          <w:b/>
          <w:bCs/>
        </w:rPr>
        <w:t>High-engagement learners generate by far the most clicks (about 37M vs about 9M Medium and about 2M Low)</w:t>
      </w:r>
      <w:r>
        <w:t>.</w:t>
      </w:r>
    </w:p>
    <w:p w14:paraId="1B1BE411" w14:textId="77777777" w:rsidR="00480AE9" w:rsidRDefault="00000000">
      <w:pPr>
        <w:numPr>
          <w:ilvl w:val="0"/>
          <w:numId w:val="1"/>
        </w:numPr>
        <w:spacing w:after="100" w:line="240" w:lineRule="auto"/>
        <w:ind w:left="720"/>
      </w:pPr>
      <w:r>
        <w:rPr>
          <w:b/>
          <w:bCs/>
        </w:rPr>
        <w:t xml:space="preserve">Drill-down by risk: </w:t>
      </w:r>
      <w:r>
        <w:t>the decomposition tree splits the 26,073 students into Very High Risk (6,952), High Risk (6,705), Low Risk (6,395) and Safe (6,021), which can be broken down further by education, gender and region.</w:t>
      </w:r>
    </w:p>
    <w:p w14:paraId="1809257D" w14:textId="77777777" w:rsidR="00480AE9" w:rsidRDefault="00480AE9">
      <w:pPr>
        <w:spacing w:after="60" w:line="240" w:lineRule="auto"/>
      </w:pPr>
    </w:p>
    <w:p w14:paraId="31EFE090" w14:textId="77777777" w:rsidR="00480AE9" w:rsidRDefault="00000000">
      <w:pPr>
        <w:keepNext/>
        <w:spacing w:before="120" w:after="100" w:line="240" w:lineRule="auto"/>
      </w:pPr>
      <w:r>
        <w:rPr>
          <w:b/>
          <w:bCs/>
        </w:rPr>
        <w:t>C. Dropout and Result Mix Analysis</w:t>
      </w:r>
    </w:p>
    <w:p w14:paraId="5A86B7F9" w14:textId="77777777" w:rsidR="00480AE9" w:rsidRDefault="00000000">
      <w:pPr>
        <w:keepNext/>
        <w:spacing w:line="240" w:lineRule="auto"/>
      </w:pPr>
      <w:r>
        <w:rPr>
          <w:noProof/>
        </w:rPr>
        <w:drawing>
          <wp:inline distT="0" distB="0" distL="0" distR="0" wp14:anchorId="15C58B19" wp14:editId="5676057D">
            <wp:extent cx="5200000" cy="1442335"/>
            <wp:effectExtent l="0" t="0" r="0" b="0"/>
            <wp:docPr id="8" name="image5.png" descr="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200000" cy="1442335"/>
                    </a:xfrm>
                    <a:prstGeom prst="rect">
                      <a:avLst/>
                    </a:prstGeom>
                    <a:ln/>
                  </pic:spPr>
                </pic:pic>
              </a:graphicData>
            </a:graphic>
          </wp:inline>
        </w:drawing>
      </w:r>
    </w:p>
    <w:p w14:paraId="7D4CA61E" w14:textId="77777777" w:rsidR="00480AE9" w:rsidRDefault="00000000">
      <w:pPr>
        <w:numPr>
          <w:ilvl w:val="0"/>
          <w:numId w:val="1"/>
        </w:numPr>
        <w:spacing w:after="100" w:line="240" w:lineRule="auto"/>
        <w:ind w:left="720"/>
      </w:pPr>
      <w:r>
        <w:rPr>
          <w:b/>
          <w:bCs/>
        </w:rPr>
        <w:t xml:space="preserve">Dropout split: </w:t>
      </w:r>
      <w:r>
        <w:t xml:space="preserve">22.1K records (74.31%) are retained while </w:t>
      </w:r>
      <w:r>
        <w:rPr>
          <w:b/>
          <w:bCs/>
        </w:rPr>
        <w:t>7.64K (25.69%) drop out</w:t>
      </w:r>
      <w:r>
        <w:t>, consistent with the 0.26 dropout rate on the main dashboard.</w:t>
      </w:r>
    </w:p>
    <w:p w14:paraId="008DC4DD" w14:textId="77777777" w:rsidR="00480AE9" w:rsidRDefault="00000000">
      <w:pPr>
        <w:numPr>
          <w:ilvl w:val="0"/>
          <w:numId w:val="1"/>
        </w:numPr>
        <w:spacing w:after="100" w:line="240" w:lineRule="auto"/>
        <w:ind w:left="720"/>
      </w:pPr>
      <w:r>
        <w:rPr>
          <w:b/>
          <w:bCs/>
        </w:rPr>
        <w:t xml:space="preserve">Result mix by engagement: </w:t>
      </w:r>
      <w:r>
        <w:t>the split of average clicks across Distinction, Fail, Pass and Withdrawn looks broadly similar at High, Medium and Low engagement.</w:t>
      </w:r>
    </w:p>
    <w:p w14:paraId="59C5FE6B" w14:textId="77777777" w:rsidR="00480AE9" w:rsidRDefault="00000000">
      <w:pPr>
        <w:numPr>
          <w:ilvl w:val="0"/>
          <w:numId w:val="1"/>
        </w:numPr>
        <w:spacing w:after="100" w:line="240" w:lineRule="auto"/>
        <w:ind w:left="720"/>
      </w:pPr>
      <w:r>
        <w:rPr>
          <w:b/>
          <w:bCs/>
        </w:rPr>
        <w:t xml:space="preserve">Result mix by region: </w:t>
      </w:r>
      <w:r>
        <w:t>every region shows a near-identical Distinction / Fail / Pass / Withdrawn profile, confirming that geography alone does not separate successful learners from at-risk ones.</w:t>
      </w:r>
    </w:p>
    <w:p w14:paraId="1BBE2830" w14:textId="77777777" w:rsidR="00480AE9" w:rsidRDefault="00480AE9">
      <w:pPr>
        <w:spacing w:after="0" w:line="240" w:lineRule="auto"/>
      </w:pPr>
    </w:p>
    <w:sectPr w:rsidR="00480AE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1BB0AAE-99CD-4519-AEE3-EA35D236FEF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6A055B9-2E8A-40AD-80DF-D5D329EDC8FD}"/>
    <w:embedBold r:id="rId3" w:fontKey="{8F7D7B81-145A-48A9-A592-76A668204C5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55D7EB7-082A-4F1B-AA1A-FBB9BF97CCCA}"/>
  </w:font>
  <w:font w:name="Cambria">
    <w:panose1 w:val="02040503050406030204"/>
    <w:charset w:val="00"/>
    <w:family w:val="roman"/>
    <w:pitch w:val="variable"/>
    <w:sig w:usb0="E00006FF" w:usb1="420024FF" w:usb2="02000000" w:usb3="00000000" w:csb0="0000019F" w:csb1="00000000"/>
    <w:embedRegular r:id="rId5" w:fontKey="{B48475E1-1F8F-4DD7-9DE4-61A91DE99603}"/>
    <w:embedBold r:id="rId6" w:fontKey="{40F20D5C-21C7-466D-9BC6-48EFA6A8775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B978D3A6-5458-46A9-9961-3C50DA7D75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649A5"/>
    <w:multiLevelType w:val="multilevel"/>
    <w:tmpl w:val="FD60E5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8AA2864"/>
    <w:multiLevelType w:val="multilevel"/>
    <w:tmpl w:val="8828C9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5717360">
    <w:abstractNumId w:val="0"/>
  </w:num>
  <w:num w:numId="2" w16cid:durableId="174260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E9"/>
    <w:rsid w:val="00480AE9"/>
    <w:rsid w:val="004F23F6"/>
    <w:rsid w:val="008E0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0154"/>
  <w15:docId w15:val="{945568BB-8459-4532-8B06-0C592C35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640</Words>
  <Characters>3650</Characters>
  <Application>Microsoft Office Word</Application>
  <DocSecurity>0</DocSecurity>
  <Lines>30</Lines>
  <Paragraphs>8</Paragraphs>
  <ScaleCrop>false</ScaleCrop>
  <Company>Sri Padmavati Mahila Visvavidyalayam</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2</cp:revision>
  <dcterms:created xsi:type="dcterms:W3CDTF">2026-09-19T05:31:00Z</dcterms:created>
  <dcterms:modified xsi:type="dcterms:W3CDTF">2026-09-19T05:31:00Z</dcterms:modified>
</cp:coreProperties>
</file>