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60DD" w14:textId="77777777" w:rsidR="003D7269" w:rsidRDefault="003D7269" w:rsidP="003D7269">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Bus Terminal Ridership Forecasting, Analytics, and Data Warehouse Development</w:t>
      </w:r>
    </w:p>
    <w:p w14:paraId="53CEF917" w14:textId="77777777" w:rsidR="003D7269" w:rsidRDefault="003D7269" w:rsidP="003D7269">
      <w:pPr>
        <w:jc w:val="center"/>
        <w:rPr>
          <w:rFonts w:ascii="Times New Roman" w:eastAsia="SimSun" w:hAnsi="Times New Roman" w:cs="Times New Roman"/>
          <w:b/>
          <w:bCs/>
          <w:sz w:val="40"/>
          <w:szCs w:val="40"/>
        </w:rPr>
      </w:pPr>
    </w:p>
    <w:p w14:paraId="4636DC78" w14:textId="77777777" w:rsidR="003D7269" w:rsidRDefault="003D7269" w:rsidP="003D7269">
      <w:pPr>
        <w:rPr>
          <w:rFonts w:ascii="Times New Roman" w:eastAsia="SimSun" w:hAnsi="Times New Roman"/>
          <w:sz w:val="24"/>
          <w:szCs w:val="24"/>
        </w:rPr>
      </w:pPr>
      <w:r>
        <w:rPr>
          <w:rFonts w:ascii="Times New Roman" w:eastAsia="SimSun" w:hAnsi="Times New Roman"/>
          <w:sz w:val="24"/>
          <w:szCs w:val="24"/>
          <w:lang w:val="en-GB"/>
        </w:rPr>
        <w:t xml:space="preserve">Course: </w:t>
      </w:r>
      <w:r>
        <w:rPr>
          <w:rFonts w:ascii="Times New Roman" w:eastAsia="SimSun" w:hAnsi="Times New Roman"/>
          <w:sz w:val="24"/>
          <w:szCs w:val="24"/>
        </w:rPr>
        <w:t>Database Project 6430</w:t>
      </w:r>
    </w:p>
    <w:p w14:paraId="41B4BDC3" w14:textId="77777777" w:rsidR="003D7269" w:rsidRDefault="003D7269" w:rsidP="003D7269">
      <w:pPr>
        <w:rPr>
          <w:rFonts w:ascii="Times New Roman" w:eastAsia="SimSun" w:hAnsi="Times New Roman"/>
          <w:sz w:val="32"/>
          <w:szCs w:val="32"/>
        </w:rPr>
      </w:pPr>
    </w:p>
    <w:p w14:paraId="4DE0B755" w14:textId="77777777" w:rsidR="003D7269" w:rsidRDefault="003D7269" w:rsidP="003D7269">
      <w:pPr>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Date: 1</w:t>
      </w:r>
      <w:r>
        <w:rPr>
          <w:rFonts w:ascii="Times New Roman" w:eastAsia="SimSun" w:hAnsi="Times New Roman" w:cs="Times New Roman"/>
          <w:sz w:val="24"/>
          <w:szCs w:val="24"/>
          <w:vertAlign w:val="superscript"/>
          <w:lang w:val="en-GB"/>
        </w:rPr>
        <w:t>st</w:t>
      </w:r>
      <w:r>
        <w:rPr>
          <w:rFonts w:ascii="Times New Roman" w:eastAsia="SimSun" w:hAnsi="Times New Roman" w:cs="Times New Roman"/>
          <w:sz w:val="24"/>
          <w:szCs w:val="24"/>
          <w:lang w:val="en-GB"/>
        </w:rPr>
        <w:t xml:space="preserve"> Dec 2025</w:t>
      </w:r>
    </w:p>
    <w:p w14:paraId="40E61B62" w14:textId="77777777" w:rsidR="003D7269" w:rsidRDefault="003D7269" w:rsidP="003D7269">
      <w:pPr>
        <w:rPr>
          <w:rFonts w:ascii="Times New Roman" w:eastAsia="SimSun" w:hAnsi="Times New Roman" w:cs="Times New Roman"/>
          <w:sz w:val="24"/>
          <w:szCs w:val="24"/>
          <w:lang w:val="en-GB"/>
        </w:rPr>
      </w:pPr>
    </w:p>
    <w:p w14:paraId="56B560D5" w14:textId="3430363A" w:rsidR="003D7269" w:rsidRPr="003D7269" w:rsidRDefault="003D7269" w:rsidP="003D7269">
      <w:pPr>
        <w:cnfStyle w:val="101000000000" w:firstRow="1" w:lastRow="0" w:firstColumn="1" w:lastColumn="0" w:oddVBand="0" w:evenVBand="0" w:oddHBand="0" w:evenHBand="0" w:firstRowFirstColumn="0" w:firstRowLastColumn="0" w:lastRowFirstColumn="0" w:lastRowLastColumn="0"/>
        <w:rPr>
          <w:b/>
          <w:bCs/>
        </w:rPr>
      </w:pPr>
      <w:r>
        <w:rPr>
          <w:rFonts w:ascii="Times New Roman" w:eastAsia="SimSun" w:hAnsi="Times New Roman" w:cs="Times New Roman"/>
          <w:sz w:val="24"/>
          <w:szCs w:val="24"/>
          <w:lang w:val="en-GB"/>
        </w:rPr>
        <w:t xml:space="preserve">Student Name : </w:t>
      </w:r>
      <w:r>
        <w:rPr>
          <w:b/>
          <w:bCs/>
        </w:rPr>
        <w:t xml:space="preserve">Sujeeth </w:t>
      </w:r>
      <w:proofErr w:type="spellStart"/>
      <w:r>
        <w:rPr>
          <w:b/>
          <w:bCs/>
        </w:rPr>
        <w:t>Parikipandla</w:t>
      </w:r>
      <w:proofErr w:type="spellEnd"/>
    </w:p>
    <w:p w14:paraId="0750AA3E" w14:textId="77777777" w:rsidR="003D7269" w:rsidRDefault="003D7269" w:rsidP="003D7269"/>
    <w:p w14:paraId="3C9FBE5A" w14:textId="54D8406F" w:rsidR="003D7269" w:rsidRPr="00D74D62" w:rsidRDefault="003D7269" w:rsidP="003D7269">
      <w:pPr>
        <w:rPr>
          <w:rFonts w:ascii="Times New Roman" w:hAnsi="Times New Roman" w:cs="Times New Roman"/>
          <w:sz w:val="24"/>
          <w:szCs w:val="24"/>
        </w:rPr>
      </w:pPr>
      <w:r>
        <w:rPr>
          <w:rFonts w:ascii="Times New Roman" w:hAnsi="Times New Roman" w:cs="Times New Roman"/>
          <w:sz w:val="24"/>
          <w:szCs w:val="24"/>
        </w:rPr>
        <w:t xml:space="preserve">Student ID : </w:t>
      </w:r>
      <w:r>
        <w:rPr>
          <w:b/>
          <w:bCs/>
        </w:rPr>
        <w:t>00959874</w:t>
      </w:r>
    </w:p>
    <w:p w14:paraId="57565484" w14:textId="77777777" w:rsidR="003D7269" w:rsidRDefault="003D7269" w:rsidP="003D7269"/>
    <w:p w14:paraId="25F53348" w14:textId="51B2D150" w:rsidR="003D7269" w:rsidRDefault="003D7269" w:rsidP="003D7269">
      <w:pPr>
        <w:rPr>
          <w:rFonts w:ascii="Times New Roman" w:hAnsi="Times New Roman" w:cs="Times New Roman"/>
          <w:sz w:val="24"/>
          <w:szCs w:val="24"/>
        </w:rPr>
      </w:pPr>
      <w:r w:rsidRPr="00D74D62">
        <w:rPr>
          <w:rFonts w:ascii="Times New Roman" w:hAnsi="Times New Roman" w:cs="Times New Roman"/>
          <w:sz w:val="24"/>
          <w:szCs w:val="24"/>
        </w:rPr>
        <w:t xml:space="preserve">Role : </w:t>
      </w:r>
      <w:r>
        <w:rPr>
          <w:rFonts w:ascii="Times New Roman" w:hAnsi="Times New Roman" w:cs="Times New Roman"/>
          <w:sz w:val="24"/>
          <w:szCs w:val="24"/>
        </w:rPr>
        <w:t>Predictive Factors &amp; Carrier Level Forecasting</w:t>
      </w:r>
    </w:p>
    <w:p w14:paraId="3A89F3A7" w14:textId="77777777" w:rsidR="003D7269" w:rsidRDefault="003D7269" w:rsidP="003D7269">
      <w:pPr>
        <w:rPr>
          <w:rFonts w:ascii="Times New Roman" w:hAnsi="Times New Roman" w:cs="Times New Roman"/>
          <w:sz w:val="24"/>
          <w:szCs w:val="24"/>
        </w:rPr>
      </w:pPr>
    </w:p>
    <w:p w14:paraId="1450C5E2" w14:textId="77777777" w:rsidR="003D7269" w:rsidRDefault="003D7269" w:rsidP="003D7269">
      <w:pPr>
        <w:rPr>
          <w:rFonts w:ascii="Times New Roman" w:hAnsi="Times New Roman" w:cs="Times New Roman"/>
          <w:sz w:val="24"/>
          <w:szCs w:val="24"/>
        </w:rPr>
      </w:pPr>
    </w:p>
    <w:p w14:paraId="74107DB4" w14:textId="77777777" w:rsidR="003D7269" w:rsidRDefault="003D7269" w:rsidP="003D7269">
      <w:pPr>
        <w:rPr>
          <w:rFonts w:ascii="Times New Roman" w:hAnsi="Times New Roman" w:cs="Times New Roman"/>
          <w:sz w:val="24"/>
          <w:szCs w:val="24"/>
        </w:rPr>
      </w:pPr>
    </w:p>
    <w:p w14:paraId="752E11BE" w14:textId="77777777" w:rsidR="003D7269" w:rsidRDefault="003D7269" w:rsidP="003D7269">
      <w:pPr>
        <w:rPr>
          <w:rFonts w:ascii="Times New Roman" w:hAnsi="Times New Roman" w:cs="Times New Roman"/>
          <w:sz w:val="24"/>
          <w:szCs w:val="24"/>
        </w:rPr>
      </w:pPr>
    </w:p>
    <w:p w14:paraId="5250C233" w14:textId="77777777" w:rsidR="003D7269" w:rsidRDefault="003D7269" w:rsidP="003D7269">
      <w:pPr>
        <w:rPr>
          <w:rFonts w:ascii="Times New Roman" w:hAnsi="Times New Roman" w:cs="Times New Roman"/>
          <w:sz w:val="24"/>
          <w:szCs w:val="24"/>
        </w:rPr>
      </w:pPr>
    </w:p>
    <w:p w14:paraId="7DB47F5B" w14:textId="77777777" w:rsidR="003D7269" w:rsidRDefault="003D7269" w:rsidP="003D7269">
      <w:pPr>
        <w:rPr>
          <w:rFonts w:ascii="Times New Roman" w:hAnsi="Times New Roman" w:cs="Times New Roman"/>
          <w:sz w:val="24"/>
          <w:szCs w:val="24"/>
        </w:rPr>
      </w:pPr>
    </w:p>
    <w:p w14:paraId="1D990847" w14:textId="77777777" w:rsidR="003D7269" w:rsidRDefault="003D7269" w:rsidP="003D7269">
      <w:pPr>
        <w:rPr>
          <w:rFonts w:ascii="Times New Roman" w:hAnsi="Times New Roman" w:cs="Times New Roman"/>
          <w:sz w:val="24"/>
          <w:szCs w:val="24"/>
        </w:rPr>
      </w:pPr>
    </w:p>
    <w:p w14:paraId="1D5F3FA4" w14:textId="77777777" w:rsidR="003D7269" w:rsidRDefault="003D7269" w:rsidP="003D7269">
      <w:pPr>
        <w:rPr>
          <w:rFonts w:ascii="Times New Roman" w:hAnsi="Times New Roman" w:cs="Times New Roman"/>
          <w:sz w:val="24"/>
          <w:szCs w:val="24"/>
        </w:rPr>
      </w:pPr>
    </w:p>
    <w:p w14:paraId="647D3517" w14:textId="77777777" w:rsidR="003D7269" w:rsidRDefault="003D7269" w:rsidP="003D7269">
      <w:pPr>
        <w:rPr>
          <w:rFonts w:ascii="Times New Roman" w:hAnsi="Times New Roman" w:cs="Times New Roman"/>
          <w:sz w:val="24"/>
          <w:szCs w:val="24"/>
        </w:rPr>
      </w:pPr>
    </w:p>
    <w:p w14:paraId="3E9D52FB" w14:textId="77777777" w:rsidR="003D7269" w:rsidRDefault="003D7269" w:rsidP="003D7269">
      <w:pPr>
        <w:rPr>
          <w:rFonts w:ascii="Times New Roman" w:hAnsi="Times New Roman" w:cs="Times New Roman"/>
          <w:sz w:val="24"/>
          <w:szCs w:val="24"/>
        </w:rPr>
      </w:pPr>
    </w:p>
    <w:p w14:paraId="7627FFD7" w14:textId="77777777" w:rsidR="003D7269" w:rsidRDefault="003D7269" w:rsidP="003D7269">
      <w:pPr>
        <w:rPr>
          <w:rFonts w:ascii="Times New Roman" w:hAnsi="Times New Roman" w:cs="Times New Roman"/>
          <w:sz w:val="24"/>
          <w:szCs w:val="24"/>
        </w:rPr>
      </w:pPr>
    </w:p>
    <w:p w14:paraId="3F2F8F7C" w14:textId="77777777" w:rsidR="003D7269" w:rsidRDefault="003D7269" w:rsidP="003D7269">
      <w:pPr>
        <w:rPr>
          <w:rFonts w:ascii="Times New Roman" w:hAnsi="Times New Roman" w:cs="Times New Roman"/>
          <w:sz w:val="24"/>
          <w:szCs w:val="24"/>
        </w:rPr>
      </w:pPr>
    </w:p>
    <w:p w14:paraId="069C3863" w14:textId="77777777" w:rsidR="003D7269" w:rsidRDefault="003D7269" w:rsidP="003D7269">
      <w:pPr>
        <w:rPr>
          <w:rFonts w:ascii="Times New Roman" w:hAnsi="Times New Roman" w:cs="Times New Roman"/>
          <w:sz w:val="24"/>
          <w:szCs w:val="24"/>
        </w:rPr>
      </w:pPr>
    </w:p>
    <w:p w14:paraId="580742A3" w14:textId="77777777" w:rsidR="003D7269" w:rsidRDefault="003D7269" w:rsidP="003D7269">
      <w:pPr>
        <w:rPr>
          <w:rFonts w:ascii="Times New Roman" w:hAnsi="Times New Roman" w:cs="Times New Roman"/>
          <w:sz w:val="24"/>
          <w:szCs w:val="24"/>
        </w:rPr>
      </w:pPr>
    </w:p>
    <w:p w14:paraId="37F8031A" w14:textId="77777777" w:rsidR="003D7269" w:rsidRDefault="003D7269" w:rsidP="003D7269">
      <w:pPr>
        <w:rPr>
          <w:rFonts w:ascii="Times New Roman" w:hAnsi="Times New Roman" w:cs="Times New Roman"/>
          <w:sz w:val="24"/>
          <w:szCs w:val="24"/>
        </w:rPr>
      </w:pPr>
    </w:p>
    <w:p w14:paraId="362AB82D" w14:textId="77777777" w:rsidR="003D7269" w:rsidRDefault="003D7269" w:rsidP="003D7269">
      <w:pPr>
        <w:rPr>
          <w:rFonts w:ascii="Times New Roman" w:hAnsi="Times New Roman" w:cs="Times New Roman"/>
          <w:sz w:val="24"/>
          <w:szCs w:val="24"/>
        </w:rPr>
      </w:pPr>
    </w:p>
    <w:p w14:paraId="2F47DF99" w14:textId="77777777" w:rsidR="003D7269" w:rsidRDefault="003D7269" w:rsidP="003D7269">
      <w:pPr>
        <w:rPr>
          <w:rFonts w:ascii="Times New Roman" w:hAnsi="Times New Roman" w:cs="Times New Roman"/>
          <w:sz w:val="24"/>
          <w:szCs w:val="24"/>
        </w:rPr>
      </w:pPr>
    </w:p>
    <w:p w14:paraId="566126C9" w14:textId="77777777" w:rsidR="003D7269" w:rsidRDefault="003D7269" w:rsidP="003D7269">
      <w:pPr>
        <w:rPr>
          <w:rFonts w:ascii="Times New Roman" w:hAnsi="Times New Roman" w:cs="Times New Roman"/>
          <w:sz w:val="24"/>
          <w:szCs w:val="24"/>
        </w:rPr>
      </w:pPr>
    </w:p>
    <w:p w14:paraId="412529A0" w14:textId="77777777" w:rsidR="003D7269" w:rsidRDefault="003D7269" w:rsidP="003D7269">
      <w:pPr>
        <w:rPr>
          <w:rFonts w:ascii="Times New Roman" w:hAnsi="Times New Roman" w:cs="Times New Roman"/>
          <w:sz w:val="24"/>
          <w:szCs w:val="24"/>
        </w:rPr>
      </w:pPr>
    </w:p>
    <w:p w14:paraId="1D8FD3CC" w14:textId="77777777" w:rsidR="003D7269" w:rsidRDefault="003D7269" w:rsidP="003D7269">
      <w:pPr>
        <w:rPr>
          <w:rFonts w:ascii="Times New Roman" w:hAnsi="Times New Roman" w:cs="Times New Roman"/>
          <w:sz w:val="24"/>
          <w:szCs w:val="24"/>
        </w:rPr>
      </w:pPr>
    </w:p>
    <w:p w14:paraId="3BEED893" w14:textId="77777777" w:rsidR="003D7269" w:rsidRDefault="003D7269" w:rsidP="003D7269">
      <w:pPr>
        <w:rPr>
          <w:rFonts w:ascii="Times New Roman" w:hAnsi="Times New Roman" w:cs="Times New Roman"/>
          <w:sz w:val="24"/>
          <w:szCs w:val="24"/>
        </w:rPr>
      </w:pPr>
    </w:p>
    <w:p w14:paraId="2D085526" w14:textId="77777777" w:rsidR="003D7269" w:rsidRDefault="003D7269" w:rsidP="003D7269">
      <w:pPr>
        <w:rPr>
          <w:rFonts w:ascii="Times New Roman" w:hAnsi="Times New Roman" w:cs="Times New Roman"/>
          <w:sz w:val="24"/>
          <w:szCs w:val="24"/>
        </w:rPr>
      </w:pPr>
    </w:p>
    <w:p w14:paraId="1DF55172" w14:textId="77777777" w:rsidR="003D7269" w:rsidRDefault="003D7269" w:rsidP="003D7269">
      <w:pPr>
        <w:rPr>
          <w:rFonts w:ascii="Times New Roman" w:hAnsi="Times New Roman" w:cs="Times New Roman"/>
          <w:sz w:val="24"/>
          <w:szCs w:val="24"/>
        </w:rPr>
      </w:pPr>
    </w:p>
    <w:p w14:paraId="72FA7369" w14:textId="77777777" w:rsidR="003D7269" w:rsidRDefault="003D7269" w:rsidP="003D7269">
      <w:pPr>
        <w:rPr>
          <w:rFonts w:ascii="Times New Roman" w:hAnsi="Times New Roman" w:cs="Times New Roman"/>
          <w:sz w:val="24"/>
          <w:szCs w:val="24"/>
        </w:rPr>
      </w:pPr>
    </w:p>
    <w:p w14:paraId="30BED8F2" w14:textId="77777777" w:rsidR="003D7269" w:rsidRDefault="003D7269" w:rsidP="003D7269">
      <w:pPr>
        <w:rPr>
          <w:rFonts w:ascii="Times New Roman" w:hAnsi="Times New Roman" w:cs="Times New Roman"/>
          <w:sz w:val="24"/>
          <w:szCs w:val="24"/>
        </w:rPr>
      </w:pPr>
    </w:p>
    <w:p w14:paraId="17A215AE" w14:textId="77777777" w:rsidR="003D7269" w:rsidRDefault="003D7269" w:rsidP="003D7269">
      <w:pPr>
        <w:rPr>
          <w:rFonts w:ascii="Times New Roman" w:hAnsi="Times New Roman" w:cs="Times New Roman"/>
          <w:sz w:val="24"/>
          <w:szCs w:val="24"/>
        </w:rPr>
      </w:pPr>
    </w:p>
    <w:p w14:paraId="1C677C7C" w14:textId="77777777" w:rsidR="003D7269" w:rsidRDefault="003D7269" w:rsidP="003D7269">
      <w:pPr>
        <w:rPr>
          <w:rFonts w:ascii="Times New Roman" w:hAnsi="Times New Roman" w:cs="Times New Roman"/>
          <w:sz w:val="24"/>
          <w:szCs w:val="24"/>
        </w:rPr>
      </w:pPr>
    </w:p>
    <w:p w14:paraId="514B123D" w14:textId="77777777" w:rsidR="003D7269" w:rsidRDefault="003D7269" w:rsidP="003D7269">
      <w:pPr>
        <w:rPr>
          <w:rFonts w:ascii="Times New Roman" w:hAnsi="Times New Roman" w:cs="Times New Roman"/>
          <w:sz w:val="24"/>
          <w:szCs w:val="24"/>
        </w:rPr>
      </w:pPr>
    </w:p>
    <w:p w14:paraId="671575D9" w14:textId="77777777" w:rsidR="003D7269" w:rsidRDefault="003D7269" w:rsidP="003D7269">
      <w:pPr>
        <w:rPr>
          <w:rFonts w:ascii="Times New Roman" w:hAnsi="Times New Roman" w:cs="Times New Roman"/>
          <w:sz w:val="24"/>
          <w:szCs w:val="24"/>
        </w:rPr>
      </w:pPr>
    </w:p>
    <w:p w14:paraId="4A25ABC4" w14:textId="77777777" w:rsidR="003D7269" w:rsidRDefault="003D7269" w:rsidP="003D7269">
      <w:pPr>
        <w:rPr>
          <w:rFonts w:ascii="Times New Roman" w:hAnsi="Times New Roman" w:cs="Times New Roman"/>
          <w:sz w:val="24"/>
          <w:szCs w:val="24"/>
        </w:rPr>
      </w:pPr>
    </w:p>
    <w:p w14:paraId="5ADB4216" w14:textId="77777777" w:rsidR="003D7269" w:rsidRDefault="003D7269" w:rsidP="003D7269">
      <w:pPr>
        <w:rPr>
          <w:rFonts w:ascii="Times New Roman" w:hAnsi="Times New Roman" w:cs="Times New Roman"/>
          <w:sz w:val="24"/>
          <w:szCs w:val="24"/>
        </w:rPr>
      </w:pPr>
    </w:p>
    <w:p w14:paraId="4D7C711B" w14:textId="77777777" w:rsidR="003D7269" w:rsidRDefault="003D7269" w:rsidP="003D7269">
      <w:pPr>
        <w:rPr>
          <w:rFonts w:ascii="Times New Roman" w:hAnsi="Times New Roman" w:cs="Times New Roman"/>
          <w:sz w:val="24"/>
          <w:szCs w:val="24"/>
        </w:rPr>
      </w:pPr>
    </w:p>
    <w:p w14:paraId="775FFC5D" w14:textId="77777777" w:rsidR="003D7269" w:rsidRDefault="003D7269" w:rsidP="003D7269">
      <w:pPr>
        <w:rPr>
          <w:rFonts w:ascii="Times New Roman" w:hAnsi="Times New Roman" w:cs="Times New Roman"/>
          <w:sz w:val="24"/>
          <w:szCs w:val="24"/>
        </w:rPr>
      </w:pPr>
    </w:p>
    <w:p w14:paraId="0AE7B863" w14:textId="77777777" w:rsidR="003D7269" w:rsidRDefault="003D7269" w:rsidP="003D7269">
      <w:pPr>
        <w:rPr>
          <w:rFonts w:ascii="Times New Roman" w:hAnsi="Times New Roman" w:cs="Times New Roman"/>
          <w:sz w:val="24"/>
          <w:szCs w:val="24"/>
        </w:rPr>
      </w:pPr>
    </w:p>
    <w:p w14:paraId="76CB8BBE" w14:textId="77777777" w:rsidR="003D7269" w:rsidRDefault="003D7269" w:rsidP="003D7269">
      <w:pPr>
        <w:rPr>
          <w:rFonts w:ascii="Times New Roman" w:hAnsi="Times New Roman" w:cs="Times New Roman"/>
          <w:sz w:val="24"/>
          <w:szCs w:val="24"/>
        </w:rPr>
      </w:pPr>
    </w:p>
    <w:p w14:paraId="61E1D6F0" w14:textId="77777777" w:rsidR="003D7269" w:rsidRDefault="003D7269" w:rsidP="003D7269">
      <w:pPr>
        <w:rPr>
          <w:rFonts w:ascii="Times New Roman" w:hAnsi="Times New Roman" w:cs="Times New Roman"/>
          <w:sz w:val="24"/>
          <w:szCs w:val="24"/>
        </w:rPr>
      </w:pPr>
    </w:p>
    <w:p w14:paraId="79D41493" w14:textId="77777777" w:rsidR="003D7269" w:rsidRDefault="003D7269" w:rsidP="003D7269">
      <w:pPr>
        <w:rPr>
          <w:rFonts w:ascii="Times New Roman" w:hAnsi="Times New Roman" w:cs="Times New Roman"/>
          <w:sz w:val="24"/>
          <w:szCs w:val="24"/>
        </w:rPr>
      </w:pPr>
    </w:p>
    <w:p w14:paraId="0290E4B2" w14:textId="77777777" w:rsidR="003D7269" w:rsidRDefault="003D7269" w:rsidP="003D7269">
      <w:pPr>
        <w:pStyle w:val="Heading1"/>
        <w:numPr>
          <w:ilvl w:val="0"/>
          <w:numId w:val="1"/>
        </w:numPr>
        <w:rPr>
          <w:rFonts w:ascii="Times New Roman" w:hAnsi="Times New Roman"/>
          <w:sz w:val="36"/>
          <w:szCs w:val="36"/>
        </w:rPr>
      </w:pPr>
      <w:bookmarkStart w:id="0" w:name="_Toc26664"/>
      <w:r>
        <w:rPr>
          <w:rFonts w:ascii="Times New Roman" w:hAnsi="Times New Roman" w:cs="Times New Roman"/>
          <w:sz w:val="36"/>
          <w:szCs w:val="36"/>
        </w:rPr>
        <w:t>Key Predictive Factors</w:t>
      </w:r>
      <w:bookmarkEnd w:id="0"/>
    </w:p>
    <w:p w14:paraId="0BA220D0" w14:textId="77777777" w:rsidR="003D7269" w:rsidRDefault="003D7269" w:rsidP="003D7269">
      <w:pPr>
        <w:pStyle w:val="NormalWeb"/>
      </w:pPr>
      <w:r>
        <w:t>To determine the most important factors that drive passenger volume at the bus terminal, we analyzed the cleaned dataset using a supervised machine-learning approach. The model was trained to predict total monthly passengers and then evaluated using feature-importance metrics that quantify how much each variable contributes to the prediction. This analysis provides the Port Authority with a clear understanding of which operational, temporal, and carrier-related factors have the greatest impact on ridership trends.</w:t>
      </w:r>
    </w:p>
    <w:p w14:paraId="65D17C1E" w14:textId="77777777" w:rsidR="003D7269" w:rsidRDefault="003D7269" w:rsidP="003D7269">
      <w:pPr>
        <w:pStyle w:val="NormalWeb"/>
      </w:pPr>
      <w:r>
        <w:t xml:space="preserve">The results show that </w:t>
      </w:r>
      <w:r>
        <w:rPr>
          <w:rStyle w:val="Strong"/>
        </w:rPr>
        <w:t>time-based factors</w:t>
      </w:r>
      <w:r>
        <w:t xml:space="preserve"> are the strongest predictors of passenger activity. Specifically, </w:t>
      </w:r>
      <w:r>
        <w:rPr>
          <w:rStyle w:val="Strong"/>
        </w:rPr>
        <w:t>month</w:t>
      </w:r>
      <w:r>
        <w:t xml:space="preserve">, </w:t>
      </w:r>
      <w:r>
        <w:rPr>
          <w:rStyle w:val="Strong"/>
        </w:rPr>
        <w:t>day of week</w:t>
      </w:r>
      <w:r>
        <w:t xml:space="preserve">, and </w:t>
      </w:r>
      <w:r>
        <w:rPr>
          <w:rStyle w:val="Strong"/>
        </w:rPr>
        <w:t>season</w:t>
      </w:r>
      <w:r>
        <w:t xml:space="preserve"> consistently ranked at the top of the importance list, reflecting strong recurring patterns in commuter behavior, holidays, weather cycles, and tourism peaks. Passenger volumes tend to rise sharply during summer months and major travel periods, while winter months typically show lower demand, making these temporal variables essential for forecasting.</w:t>
      </w:r>
    </w:p>
    <w:p w14:paraId="30937058" w14:textId="77777777" w:rsidR="003D7269" w:rsidRDefault="003D7269" w:rsidP="003D7269">
      <w:pPr>
        <w:pStyle w:val="NormalWeb"/>
      </w:pPr>
      <w:r>
        <w:t xml:space="preserve">A second major group of predictors comes from </w:t>
      </w:r>
      <w:r>
        <w:rPr>
          <w:rStyle w:val="Strong"/>
        </w:rPr>
        <w:t>carrier-related activity</w:t>
      </w:r>
      <w:r>
        <w:t xml:space="preserve">, including </w:t>
      </w:r>
      <w:r>
        <w:rPr>
          <w:rStyle w:val="Strong"/>
        </w:rPr>
        <w:t>total scheduled trips</w:t>
      </w:r>
      <w:r>
        <w:t xml:space="preserve">, </w:t>
      </w:r>
      <w:r>
        <w:rPr>
          <w:rStyle w:val="Strong"/>
        </w:rPr>
        <w:t>number of active carriers</w:t>
      </w:r>
      <w:r>
        <w:t xml:space="preserve">, and </w:t>
      </w:r>
      <w:r>
        <w:rPr>
          <w:rStyle w:val="Strong"/>
        </w:rPr>
        <w:t>carrier-specific passenger counts</w:t>
      </w:r>
      <w:r>
        <w:t>. Carriers with high-frequency service contribute disproportionately to the terminal’s total demand, meaning fluctuations in their schedules or performance strongly influence overall ridership. This demonstrates that operational planning, route availability, and carrier service levels significantly shape daily and monthly passenger flow.</w:t>
      </w:r>
    </w:p>
    <w:p w14:paraId="2349A847" w14:textId="77777777" w:rsidR="003D7269" w:rsidRDefault="003D7269" w:rsidP="003D7269">
      <w:pPr>
        <w:pStyle w:val="NormalWeb"/>
      </w:pPr>
      <w:r>
        <w:t xml:space="preserve">Finally, </w:t>
      </w:r>
      <w:r>
        <w:rPr>
          <w:rStyle w:val="Strong"/>
        </w:rPr>
        <w:t>external demand indicators</w:t>
      </w:r>
      <w:r>
        <w:t>, such as annual trends and year-over-year growth, also play an important role. These variables capture long-term recovery from the COVID-19 pandemic and the broader regional transportation demand patterns. Their importance confirms that passenger volume is not random but part of a sustained multi-year upward trend.</w:t>
      </w:r>
    </w:p>
    <w:p w14:paraId="5BC96A22" w14:textId="77777777" w:rsidR="003D7269" w:rsidRDefault="003D7269" w:rsidP="003D7269">
      <w:pPr>
        <w:pStyle w:val="NormalWeb"/>
      </w:pPr>
      <w:r>
        <w:t xml:space="preserve">Overall, the most influential predictors of passenger volume are </w:t>
      </w:r>
      <w:r>
        <w:rPr>
          <w:rStyle w:val="Strong"/>
        </w:rPr>
        <w:t>time-based patterns</w:t>
      </w:r>
      <w:r>
        <w:t xml:space="preserve">, </w:t>
      </w:r>
      <w:r>
        <w:rPr>
          <w:rStyle w:val="Strong"/>
        </w:rPr>
        <w:t>carrier activity levels</w:t>
      </w:r>
      <w:r>
        <w:t xml:space="preserve">, and </w:t>
      </w:r>
      <w:r>
        <w:rPr>
          <w:rStyle w:val="Strong"/>
        </w:rPr>
        <w:t>long-term demand trends</w:t>
      </w:r>
      <w:r>
        <w:t>. Understanding these factors allows the Port Authority to anticipate peak periods more accurately, optimize resource allocation, and support data-driven decisions for facility design, staffing, and operational planning.</w:t>
      </w:r>
    </w:p>
    <w:p w14:paraId="58F978FC" w14:textId="77777777" w:rsidR="003D7269" w:rsidRDefault="003D7269" w:rsidP="003D7269">
      <w:pPr>
        <w:pStyle w:val="NormalWeb"/>
      </w:pPr>
    </w:p>
    <w:p w14:paraId="75A34531" w14:textId="77777777" w:rsidR="003D7269" w:rsidRDefault="003D7269" w:rsidP="003D7269">
      <w:pPr>
        <w:rPr>
          <w:rFonts w:ascii="Times New Roman" w:hAnsi="Times New Roman" w:cs="Times New Roman"/>
        </w:rPr>
      </w:pPr>
    </w:p>
    <w:p w14:paraId="13A26D5A" w14:textId="77777777" w:rsidR="003D7269" w:rsidRDefault="003D7269" w:rsidP="003D7269">
      <w:pPr>
        <w:pStyle w:val="Heading1"/>
        <w:numPr>
          <w:ilvl w:val="0"/>
          <w:numId w:val="1"/>
        </w:numPr>
        <w:rPr>
          <w:rFonts w:ascii="Times New Roman" w:hAnsi="Times New Roman"/>
          <w:sz w:val="36"/>
          <w:szCs w:val="36"/>
        </w:rPr>
      </w:pPr>
      <w:bookmarkStart w:id="1" w:name="_Toc30920"/>
      <w:r>
        <w:rPr>
          <w:rFonts w:ascii="Times New Roman" w:hAnsi="Times New Roman" w:cs="Times New Roman"/>
          <w:sz w:val="36"/>
          <w:szCs w:val="36"/>
        </w:rPr>
        <w:t>Carrier-Level Predictions</w:t>
      </w:r>
      <w:bookmarkEnd w:id="1"/>
    </w:p>
    <w:p w14:paraId="5949D59C" w14:textId="77777777" w:rsidR="003D7269" w:rsidRDefault="003D7269" w:rsidP="003D7269">
      <w:pPr>
        <w:pStyle w:val="Heading3"/>
        <w:numPr>
          <w:ilvl w:val="1"/>
          <w:numId w:val="2"/>
        </w:numPr>
        <w:rPr>
          <w:rFonts w:ascii="Times New Roman" w:hAnsi="Times New Roman"/>
        </w:rPr>
      </w:pPr>
      <w:bookmarkStart w:id="2" w:name="_Toc15695"/>
      <w:r>
        <w:rPr>
          <w:rFonts w:ascii="Times New Roman" w:hAnsi="Times New Roman" w:cs="Times New Roman"/>
        </w:rPr>
        <w:t>Introduction to Carrier-Level Forecasting</w:t>
      </w:r>
      <w:bookmarkEnd w:id="2"/>
    </w:p>
    <w:p w14:paraId="00949931" w14:textId="77777777" w:rsidR="003D7269" w:rsidRDefault="003D7269" w:rsidP="003D7269">
      <w:pPr>
        <w:pStyle w:val="NormalWeb"/>
      </w:pPr>
      <w:r>
        <w:t xml:space="preserve">To extend the forecasting analysis beyond total passenger counts, we developed separate predictive models for each carrier operating within the bus terminal. This approach allows us to understand how ridership growth will differ across service providers, which is essential for allocating staging space, scheduling platform availability, and planning operational resources. Using monthly aggregated passenger totals from the cleaned dataset, we fit time-series </w:t>
      </w:r>
      <w:r>
        <w:lastRenderedPageBreak/>
        <w:t>models to each carrier’s historical data and then projected their expected passenger volumes through the 2026–2030 planning horizon. This method produces individualized forecasts that reflect each carrier’s unique service patterns, demand cycles, and ridership recovery trajectories.</w:t>
      </w:r>
    </w:p>
    <w:p w14:paraId="5FC5A645" w14:textId="77777777" w:rsidR="003D7269" w:rsidRDefault="003D7269" w:rsidP="003D7269">
      <w:pPr>
        <w:pStyle w:val="Heading3"/>
        <w:rPr>
          <w:rFonts w:ascii="Times New Roman" w:hAnsi="Times New Roman"/>
          <w:lang w:val="en-GB"/>
        </w:rPr>
      </w:pPr>
      <w:bookmarkStart w:id="3" w:name="_Toc1334"/>
      <w:r>
        <w:rPr>
          <w:rFonts w:ascii="Times New Roman" w:hAnsi="Times New Roman" w:cs="Times New Roman"/>
          <w:lang w:val="en-GB"/>
        </w:rPr>
        <w:t>1.2 Passenger Forecast: Academy Bus</w:t>
      </w:r>
      <w:bookmarkEnd w:id="3"/>
    </w:p>
    <w:p w14:paraId="3C888B1F" w14:textId="77777777" w:rsidR="003D7269" w:rsidRDefault="003D7269" w:rsidP="003D7269">
      <w:pPr>
        <w:pStyle w:val="NormalWeb"/>
      </w:pPr>
      <w:r>
        <w:rPr>
          <w:noProof/>
        </w:rPr>
        <w:drawing>
          <wp:inline distT="0" distB="0" distL="114300" distR="114300" wp14:anchorId="768E9484" wp14:editId="56E470BB">
            <wp:extent cx="2983230" cy="1477010"/>
            <wp:effectExtent l="0" t="0" r="7620" b="889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5"/>
                    <a:stretch>
                      <a:fillRect/>
                    </a:stretch>
                  </pic:blipFill>
                  <pic:spPr>
                    <a:xfrm>
                      <a:off x="0" y="0"/>
                      <a:ext cx="2983230" cy="1477010"/>
                    </a:xfrm>
                    <a:prstGeom prst="rect">
                      <a:avLst/>
                    </a:prstGeom>
                    <a:noFill/>
                    <a:ln>
                      <a:noFill/>
                    </a:ln>
                  </pic:spPr>
                </pic:pic>
              </a:graphicData>
            </a:graphic>
          </wp:inline>
        </w:drawing>
      </w:r>
      <w:r>
        <w:br/>
        <w:t xml:space="preserve">The first forecast plot, representing </w:t>
      </w:r>
      <w:r>
        <w:rPr>
          <w:rStyle w:val="Emphasis"/>
        </w:rPr>
        <w:t>Academy Bus</w:t>
      </w:r>
      <w:r>
        <w:t>, shows a stable historical pattern followed by a pronounced upward projection extending through the end of the decade. Historically, Academy has maintained consistent ridership with modest monthly fluctuations tied to commuter seasons. However, the forecast curve indicates accelerated growth beginning in 2026, reflecting both post-pandemic recovery and increased demand along Academy’s commuter corridors. The smooth trajectory of the model suggests highly predictable monthly patterns, making Academy one of the more stable carriers in terms of future planning. This implies that staging resources allocated to Academy should scale gradually but consistently over the next five years.</w:t>
      </w:r>
    </w:p>
    <w:p w14:paraId="5D4DF256" w14:textId="77777777" w:rsidR="003D7269" w:rsidRDefault="003D7269" w:rsidP="003D7269">
      <w:pPr>
        <w:pStyle w:val="NormalWeb"/>
      </w:pPr>
    </w:p>
    <w:p w14:paraId="1256B16D" w14:textId="77777777" w:rsidR="003D7269" w:rsidRDefault="003D7269" w:rsidP="003D7269">
      <w:pPr>
        <w:pStyle w:val="NormalWeb"/>
      </w:pPr>
    </w:p>
    <w:p w14:paraId="22E15075" w14:textId="77777777" w:rsidR="003D7269" w:rsidRDefault="003D7269" w:rsidP="003D7269">
      <w:pPr>
        <w:pStyle w:val="NormalWeb"/>
      </w:pPr>
    </w:p>
    <w:p w14:paraId="38D85246" w14:textId="77777777" w:rsidR="003D7269" w:rsidRDefault="003D7269" w:rsidP="003D7269">
      <w:pPr>
        <w:pStyle w:val="NormalWeb"/>
      </w:pPr>
    </w:p>
    <w:p w14:paraId="5DD922FE" w14:textId="77777777" w:rsidR="003D7269" w:rsidRDefault="003D7269" w:rsidP="003D7269">
      <w:pPr>
        <w:pStyle w:val="NormalWeb"/>
        <w:rPr>
          <w:b/>
          <w:bCs/>
          <w:lang w:val="en-GB"/>
        </w:rPr>
      </w:pPr>
    </w:p>
    <w:p w14:paraId="6E2042C3" w14:textId="77777777" w:rsidR="003D7269" w:rsidRDefault="003D7269" w:rsidP="003D7269">
      <w:pPr>
        <w:pStyle w:val="Heading3"/>
        <w:rPr>
          <w:rFonts w:ascii="Times New Roman" w:hAnsi="Times New Roman"/>
          <w:lang w:val="en-GB"/>
        </w:rPr>
      </w:pPr>
      <w:bookmarkStart w:id="4" w:name="_Toc17148"/>
      <w:r>
        <w:rPr>
          <w:rFonts w:ascii="Times New Roman" w:hAnsi="Times New Roman" w:cs="Times New Roman"/>
          <w:lang w:val="en-GB"/>
        </w:rPr>
        <w:lastRenderedPageBreak/>
        <w:t>1.3 Passenger Forecast: Coach USA</w:t>
      </w:r>
      <w:bookmarkEnd w:id="4"/>
    </w:p>
    <w:p w14:paraId="66AE2088" w14:textId="77777777" w:rsidR="003D7269" w:rsidRDefault="003D7269" w:rsidP="003D7269">
      <w:pPr>
        <w:pStyle w:val="NormalWeb"/>
      </w:pPr>
      <w:r>
        <w:rPr>
          <w:noProof/>
        </w:rPr>
        <w:drawing>
          <wp:inline distT="0" distB="0" distL="114300" distR="114300" wp14:anchorId="14C59B9D" wp14:editId="7BEF9C2A">
            <wp:extent cx="4441190" cy="2177415"/>
            <wp:effectExtent l="0" t="0" r="16510" b="1333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6"/>
                    <a:stretch>
                      <a:fillRect/>
                    </a:stretch>
                  </pic:blipFill>
                  <pic:spPr>
                    <a:xfrm>
                      <a:off x="0" y="0"/>
                      <a:ext cx="4441190" cy="2177415"/>
                    </a:xfrm>
                    <a:prstGeom prst="rect">
                      <a:avLst/>
                    </a:prstGeom>
                    <a:noFill/>
                    <a:ln>
                      <a:noFill/>
                    </a:ln>
                  </pic:spPr>
                </pic:pic>
              </a:graphicData>
            </a:graphic>
          </wp:inline>
        </w:drawing>
      </w:r>
      <w:r>
        <w:br/>
        <w:t xml:space="preserve">The second plot, covering </w:t>
      </w:r>
      <w:r>
        <w:rPr>
          <w:rStyle w:val="Emphasis"/>
        </w:rPr>
        <w:t>Coach USA</w:t>
      </w:r>
      <w:r>
        <w:t>, displays a similar seasonal structure but with visibly larger historical peaks compared to other commuter carriers. Coach USA’s forecasted trend shows strong growth with steeper increases than Academy, indicating that Coach USA is expected to contribute a greater share of the terminal’s total passenger expansion between 2026 and 2030. The model captures Coach USA’s higher volatility but still projects a clear upward trajectory, suggesting increased commuter demand and higher service utilization. For operational planning, this means Coach USA will likely require expanded staging capacity sooner than lower-volume carriers to manage the larger passenger influx predicted in the late 2020s.</w:t>
      </w:r>
    </w:p>
    <w:p w14:paraId="4122FE9D" w14:textId="77777777" w:rsidR="003D7269" w:rsidRDefault="003D7269" w:rsidP="003D7269">
      <w:pPr>
        <w:pStyle w:val="NormalWeb"/>
      </w:pPr>
      <w:r>
        <w:rPr>
          <w:rStyle w:val="Heading3Char"/>
          <w:lang w:val="en-GB"/>
        </w:rPr>
        <w:t xml:space="preserve">1.4 </w:t>
      </w:r>
      <w:r>
        <w:rPr>
          <w:rStyle w:val="Heading3Char"/>
        </w:rPr>
        <w:t>Summary</w:t>
      </w:r>
      <w:r>
        <w:rPr>
          <w:rStyle w:val="Heading3Char"/>
        </w:rPr>
        <w:br/>
      </w:r>
      <w:r>
        <w:t>Across all carriers modeled, the forecasts consistently show rising passenger volumes throughout the 2026–2030 period, with the magnitude of growth varying significantly by carrier. High-frequency commuter operators such as Coach USA and Academy Bus exhibit the strongest upward trends, while some intercity carriers show more moderate increases. These carrier-specific predictions are crucial for ensuring that temporary staging facilities are designed to handle uneven growth across service providers. By understanding which carriers are expected to generate the greatest demand, the Port Authority can develop targeted operational strategies, allocate space more efficiently, and ensure that platform capacity aligns with projected ridership levels during the facility construction period.</w:t>
      </w:r>
    </w:p>
    <w:p w14:paraId="4EED598A" w14:textId="77777777" w:rsidR="003D7269" w:rsidRPr="00D74D62" w:rsidRDefault="003D7269" w:rsidP="003D7269">
      <w:pPr>
        <w:rPr>
          <w:rFonts w:ascii="Times New Roman" w:hAnsi="Times New Roman" w:cs="Times New Roman"/>
          <w:sz w:val="24"/>
          <w:szCs w:val="24"/>
        </w:rPr>
      </w:pPr>
    </w:p>
    <w:p w14:paraId="7A66E2E1" w14:textId="77777777" w:rsidR="0082767B" w:rsidRDefault="0082767B"/>
    <w:sectPr w:rsidR="0082767B" w:rsidSect="00701C8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3F5D1"/>
    <w:multiLevelType w:val="singleLevel"/>
    <w:tmpl w:val="8D63F5D1"/>
    <w:lvl w:ilvl="0">
      <w:start w:val="1"/>
      <w:numFmt w:val="decimal"/>
      <w:suff w:val="space"/>
      <w:lvlText w:val="%1."/>
      <w:lvlJc w:val="left"/>
      <w:rPr>
        <w:rFonts w:hint="default"/>
        <w:b/>
        <w:bCs/>
        <w:sz w:val="36"/>
        <w:szCs w:val="36"/>
      </w:rPr>
    </w:lvl>
  </w:abstractNum>
  <w:abstractNum w:abstractNumId="1" w15:restartNumberingAfterBreak="0">
    <w:nsid w:val="4F1BCDA4"/>
    <w:multiLevelType w:val="multilevel"/>
    <w:tmpl w:val="4F1BCD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042391487">
    <w:abstractNumId w:val="0"/>
  </w:num>
  <w:num w:numId="2" w16cid:durableId="1626041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F2"/>
    <w:rsid w:val="00386D86"/>
    <w:rsid w:val="003D7269"/>
    <w:rsid w:val="005C4D51"/>
    <w:rsid w:val="00701C89"/>
    <w:rsid w:val="00804971"/>
    <w:rsid w:val="0082767B"/>
    <w:rsid w:val="00CA6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E001"/>
  <w15:chartTrackingRefBased/>
  <w15:docId w15:val="{5FF47816-C85F-46DF-8351-1336FAF2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269"/>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CA6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A6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2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CA6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F2"/>
    <w:rPr>
      <w:rFonts w:eastAsiaTheme="majorEastAsia" w:cstheme="majorBidi"/>
      <w:color w:val="272727" w:themeColor="text1" w:themeTint="D8"/>
    </w:rPr>
  </w:style>
  <w:style w:type="paragraph" w:styleId="Title">
    <w:name w:val="Title"/>
    <w:basedOn w:val="Normal"/>
    <w:next w:val="Normal"/>
    <w:link w:val="TitleChar"/>
    <w:uiPriority w:val="10"/>
    <w:qFormat/>
    <w:rsid w:val="00CA62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F2"/>
    <w:pPr>
      <w:spacing w:before="160"/>
      <w:jc w:val="center"/>
    </w:pPr>
    <w:rPr>
      <w:i/>
      <w:iCs/>
      <w:color w:val="404040" w:themeColor="text1" w:themeTint="BF"/>
    </w:rPr>
  </w:style>
  <w:style w:type="character" w:customStyle="1" w:styleId="QuoteChar">
    <w:name w:val="Quote Char"/>
    <w:basedOn w:val="DefaultParagraphFont"/>
    <w:link w:val="Quote"/>
    <w:uiPriority w:val="29"/>
    <w:rsid w:val="00CA62F2"/>
    <w:rPr>
      <w:i/>
      <w:iCs/>
      <w:color w:val="404040" w:themeColor="text1" w:themeTint="BF"/>
    </w:rPr>
  </w:style>
  <w:style w:type="paragraph" w:styleId="ListParagraph">
    <w:name w:val="List Paragraph"/>
    <w:basedOn w:val="Normal"/>
    <w:uiPriority w:val="34"/>
    <w:qFormat/>
    <w:rsid w:val="00CA62F2"/>
    <w:pPr>
      <w:ind w:left="720"/>
      <w:contextualSpacing/>
    </w:pPr>
  </w:style>
  <w:style w:type="character" w:styleId="IntenseEmphasis">
    <w:name w:val="Intense Emphasis"/>
    <w:basedOn w:val="DefaultParagraphFont"/>
    <w:uiPriority w:val="21"/>
    <w:qFormat/>
    <w:rsid w:val="00CA62F2"/>
    <w:rPr>
      <w:i/>
      <w:iCs/>
      <w:color w:val="2F5496" w:themeColor="accent1" w:themeShade="BF"/>
    </w:rPr>
  </w:style>
  <w:style w:type="paragraph" w:styleId="IntenseQuote">
    <w:name w:val="Intense Quote"/>
    <w:basedOn w:val="Normal"/>
    <w:next w:val="Normal"/>
    <w:link w:val="IntenseQuoteChar"/>
    <w:uiPriority w:val="30"/>
    <w:qFormat/>
    <w:rsid w:val="00CA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2F2"/>
    <w:rPr>
      <w:i/>
      <w:iCs/>
      <w:color w:val="2F5496" w:themeColor="accent1" w:themeShade="BF"/>
    </w:rPr>
  </w:style>
  <w:style w:type="character" w:styleId="IntenseReference">
    <w:name w:val="Intense Reference"/>
    <w:basedOn w:val="DefaultParagraphFont"/>
    <w:uiPriority w:val="32"/>
    <w:qFormat/>
    <w:rsid w:val="00CA62F2"/>
    <w:rPr>
      <w:b/>
      <w:bCs/>
      <w:smallCaps/>
      <w:color w:val="2F5496" w:themeColor="accent1" w:themeShade="BF"/>
      <w:spacing w:val="5"/>
    </w:rPr>
  </w:style>
  <w:style w:type="table" w:customStyle="1" w:styleId="PlainTable11">
    <w:name w:val="Plain Table 11"/>
    <w:basedOn w:val="TableNormal"/>
    <w:uiPriority w:val="99"/>
    <w:qFormat/>
    <w:rsid w:val="003D7269"/>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qFormat/>
    <w:rsid w:val="003D7269"/>
    <w:rPr>
      <w:i/>
      <w:iCs/>
    </w:rPr>
  </w:style>
  <w:style w:type="paragraph" w:styleId="NormalWeb">
    <w:name w:val="Normal (Web)"/>
    <w:qFormat/>
    <w:rsid w:val="003D7269"/>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3D72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851</Words>
  <Characters>4856</Characters>
  <Application>Microsoft Office Word</Application>
  <DocSecurity>0</DocSecurity>
  <Lines>40</Lines>
  <Paragraphs>11</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WAJID ALI</dc:creator>
  <cp:keywords/>
  <dc:description/>
  <cp:lastModifiedBy>MD WAJID ALI</cp:lastModifiedBy>
  <cp:revision>2</cp:revision>
  <dcterms:created xsi:type="dcterms:W3CDTF">2025-12-14T02:20:00Z</dcterms:created>
  <dcterms:modified xsi:type="dcterms:W3CDTF">2025-12-14T02:24:00Z</dcterms:modified>
</cp:coreProperties>
</file>