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SERVICE BLUEPRINT, SLOs &amp; CLOUD COST ENVELOPE</w:t>
      </w:r>
    </w:p>
    <w:p>
      <w:pPr>
        <w:jc w:val="center"/>
      </w:pPr>
      <w:r>
        <w:rPr>
          <w:i/>
          <w:sz w:val="24"/>
        </w:rPr>
        <w:t>Task 1 — Operational contract for a two-tier web service</w:t>
      </w:r>
    </w:p>
    <w:p>
      <w:r>
        <w:t>Prepared as a planning exercise from the supplied slo-cost-envelope CSV. Cost figures below are illustrative estimates, not vendor quotes or proof of deployed resources.</w:t>
      </w:r>
    </w:p>
    <w:p>
      <w:pPr>
        <w:pStyle w:val="Heading1"/>
      </w:pPr>
      <w:r>
        <w:t>1. Objective and scope</w:t>
      </w:r>
    </w:p>
    <w:p>
      <w:r>
        <w:t>Define how a small two-tier web service receives requests, depends on its data tier, is deployed, stores and recovers data, and responds to failures before selecting final infrastructure or writing deployment automation. The service is evaluated at three traffic levels: Lean, Balanced, and Resilient.</w:t>
      </w:r>
    </w:p>
    <w:p>
      <w:pPr>
        <w:pStyle w:val="Heading1"/>
      </w:pPr>
      <w:r>
        <w:t>2. Service blueprint</w:t>
      </w:r>
    </w:p>
    <w:p>
      <w:r>
        <w:t>Request path: User/Browser → DNS/HTTPS entry point → Web/Application tier → Database or data service → response returns to user.</w:t>
      </w:r>
    </w:p>
    <w:p>
      <w:r>
        <w:t>Dependency path: Application tier depends on the data tier, identity/secret service, DNS, and monitoring/logging. If the data tier is unavailable, the application should fail safely, return a controlled error, and avoid corrupting data.</w:t>
      </w:r>
    </w:p>
    <w:p>
      <w:r>
        <w:t>Deployment path: Developer → source control → reviewed build artifact → staged deployment → health checks/smoke test → promote or roll back. Deployments should be paused when the error budget is nearly exhausted.</w:t>
      </w:r>
    </w:p>
    <w:p>
      <w:r>
        <w:t>Data path: Validated request → application validation → database write/read → backup/restore mechanism. Backups must be monitored and restore-tested; backup completion alone does not prove recoverability.</w:t>
      </w:r>
    </w:p>
    <w:p>
      <w:r>
        <w:t>Failure path: Health check or SLI detects a problem → alert is routed to the owner → triage the web tier, data tier, network, and recent changes → mitigate/rollback or restore → verify service health → record incident and follow-up actions.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jc w:val="center"/>
            </w:pPr>
            <w:r>
              <w:rPr>
                <w:b/>
                <w:color w:val="1F4E79"/>
                <w:sz w:val="16"/>
              </w:rPr>
              <w:t>User / Browser</w:t>
            </w:r>
          </w:p>
        </w:tc>
        <w:tc>
          <w:tcPr>
            <w:tcW w:type="dxa" w:w="2045"/>
            <w:vAlign w:val="center"/>
          </w:tcPr>
          <w:p>
            <w:pPr>
              <w:jc w:val="center"/>
            </w:pPr>
            <w:r>
              <w:rPr>
                <w:b/>
                <w:color w:val="1F4E79"/>
                <w:sz w:val="16"/>
              </w:rPr>
              <w:t>DNS + HTTPS</w:t>
            </w:r>
          </w:p>
        </w:tc>
        <w:tc>
          <w:tcPr>
            <w:tcW w:type="dxa" w:w="2045"/>
            <w:vAlign w:val="center"/>
          </w:tcPr>
          <w:p>
            <w:pPr>
              <w:jc w:val="center"/>
            </w:pPr>
            <w:r>
              <w:rPr>
                <w:b/>
                <w:color w:val="1F4E79"/>
                <w:sz w:val="16"/>
              </w:rPr>
              <w:t>Web / App Tier</w:t>
            </w:r>
          </w:p>
        </w:tc>
        <w:tc>
          <w:tcPr>
            <w:tcW w:type="dxa" w:w="2045"/>
            <w:vAlign w:val="center"/>
          </w:tcPr>
          <w:p>
            <w:pPr>
              <w:jc w:val="center"/>
            </w:pPr>
            <w:r>
              <w:rPr>
                <w:b/>
                <w:color w:val="1F4E79"/>
                <w:sz w:val="16"/>
              </w:rPr>
              <w:t>Data Tier</w:t>
            </w:r>
          </w:p>
        </w:tc>
        <w:tc>
          <w:tcPr>
            <w:tcW w:type="dxa" w:w="2045"/>
            <w:vAlign w:val="center"/>
          </w:tcPr>
          <w:p>
            <w:pPr>
              <w:jc w:val="center"/>
            </w:pPr>
            <w:r>
              <w:rPr>
                <w:b/>
                <w:color w:val="1F4E79"/>
                <w:sz w:val="16"/>
              </w:rPr>
              <w:t>Backup + Monitoring</w:t>
            </w:r>
          </w:p>
        </w:tc>
      </w:tr>
    </w:tbl>
    <w:p>
      <w:r>
        <w:t>Conceptual two-tier blueprint (DNS/HTTPS is the entry path; the web/application tier calls the data tier; monitoring and backup support operations).</w:t>
      </w:r>
    </w:p>
    <w:p>
      <w:pPr>
        <w:pStyle w:val="Heading1"/>
      </w:pPr>
      <w:r>
        <w:t>3. Source scenario envelope</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Scenario</w:t>
            </w:r>
          </w:p>
        </w:tc>
        <w:tc>
          <w:tcPr>
            <w:tcW w:type="dxa" w:w="1461"/>
          </w:tcPr>
          <w:p>
            <w:r>
              <w:t>Budget / month</w:t>
            </w:r>
          </w:p>
        </w:tc>
        <w:tc>
          <w:tcPr>
            <w:tcW w:type="dxa" w:w="1461"/>
          </w:tcPr>
          <w:p>
            <w:r>
              <w:t>Availability</w:t>
            </w:r>
          </w:p>
        </w:tc>
        <w:tc>
          <w:tcPr>
            <w:tcW w:type="dxa" w:w="1461"/>
          </w:tcPr>
          <w:p>
            <w:r>
              <w:t>P95 latency</w:t>
            </w:r>
          </w:p>
        </w:tc>
        <w:tc>
          <w:tcPr>
            <w:tcW w:type="dxa" w:w="1461"/>
          </w:tcPr>
          <w:p>
            <w:r>
              <w:t>RPO</w:t>
            </w:r>
          </w:p>
        </w:tc>
        <w:tc>
          <w:tcPr>
            <w:tcW w:type="dxa" w:w="1461"/>
          </w:tcPr>
          <w:p>
            <w:r>
              <w:t>RTO</w:t>
            </w:r>
          </w:p>
        </w:tc>
        <w:tc>
          <w:tcPr>
            <w:tcW w:type="dxa" w:w="1461"/>
          </w:tcPr>
          <w:p>
            <w:r>
              <w:t>Users</w:t>
            </w:r>
          </w:p>
        </w:tc>
      </w:tr>
      <w:tr>
        <w:tc>
          <w:tcPr>
            <w:tcW w:type="dxa" w:w="1461"/>
          </w:tcPr>
          <w:p>
            <w:r>
              <w:t>Lean</w:t>
            </w:r>
          </w:p>
        </w:tc>
        <w:tc>
          <w:tcPr>
            <w:tcW w:type="dxa" w:w="1461"/>
          </w:tcPr>
          <w:p>
            <w:r>
              <w:t>₹2,500</w:t>
            </w:r>
          </w:p>
        </w:tc>
        <w:tc>
          <w:tcPr>
            <w:tcW w:type="dxa" w:w="1461"/>
          </w:tcPr>
          <w:p>
            <w:r>
              <w:t>99.0%</w:t>
            </w:r>
          </w:p>
        </w:tc>
        <w:tc>
          <w:tcPr>
            <w:tcW w:type="dxa" w:w="1461"/>
          </w:tcPr>
          <w:p>
            <w:r>
              <w:t>800 ms</w:t>
            </w:r>
          </w:p>
        </w:tc>
        <w:tc>
          <w:tcPr>
            <w:tcW w:type="dxa" w:w="1461"/>
          </w:tcPr>
          <w:p>
            <w:r>
              <w:t>1440 min</w:t>
            </w:r>
          </w:p>
        </w:tc>
        <w:tc>
          <w:tcPr>
            <w:tcW w:type="dxa" w:w="1461"/>
          </w:tcPr>
          <w:p>
            <w:r>
              <w:t>240 min</w:t>
            </w:r>
          </w:p>
        </w:tc>
        <w:tc>
          <w:tcPr>
            <w:tcW w:type="dxa" w:w="1461"/>
          </w:tcPr>
          <w:p>
            <w:r>
              <w:t>500</w:t>
            </w:r>
          </w:p>
        </w:tc>
      </w:tr>
      <w:tr>
        <w:tc>
          <w:tcPr>
            <w:tcW w:type="dxa" w:w="1461"/>
          </w:tcPr>
          <w:p>
            <w:r>
              <w:t>Balanced</w:t>
            </w:r>
          </w:p>
        </w:tc>
        <w:tc>
          <w:tcPr>
            <w:tcW w:type="dxa" w:w="1461"/>
          </w:tcPr>
          <w:p>
            <w:r>
              <w:t>₹8,000</w:t>
            </w:r>
          </w:p>
        </w:tc>
        <w:tc>
          <w:tcPr>
            <w:tcW w:type="dxa" w:w="1461"/>
          </w:tcPr>
          <w:p>
            <w:r>
              <w:t>99.5%</w:t>
            </w:r>
          </w:p>
        </w:tc>
        <w:tc>
          <w:tcPr>
            <w:tcW w:type="dxa" w:w="1461"/>
          </w:tcPr>
          <w:p>
            <w:r>
              <w:t>500 ms</w:t>
            </w:r>
          </w:p>
        </w:tc>
        <w:tc>
          <w:tcPr>
            <w:tcW w:type="dxa" w:w="1461"/>
          </w:tcPr>
          <w:p>
            <w:r>
              <w:t>60 min</w:t>
            </w:r>
          </w:p>
        </w:tc>
        <w:tc>
          <w:tcPr>
            <w:tcW w:type="dxa" w:w="1461"/>
          </w:tcPr>
          <w:p>
            <w:r>
              <w:t>60 min</w:t>
            </w:r>
          </w:p>
        </w:tc>
        <w:tc>
          <w:tcPr>
            <w:tcW w:type="dxa" w:w="1461"/>
          </w:tcPr>
          <w:p>
            <w:r>
              <w:t>5,000</w:t>
            </w:r>
          </w:p>
        </w:tc>
      </w:tr>
      <w:tr>
        <w:tc>
          <w:tcPr>
            <w:tcW w:type="dxa" w:w="1461"/>
          </w:tcPr>
          <w:p>
            <w:r>
              <w:t>Resilient</w:t>
            </w:r>
          </w:p>
        </w:tc>
        <w:tc>
          <w:tcPr>
            <w:tcW w:type="dxa" w:w="1461"/>
          </w:tcPr>
          <w:p>
            <w:r>
              <w:t>₹25,000</w:t>
            </w:r>
          </w:p>
        </w:tc>
        <w:tc>
          <w:tcPr>
            <w:tcW w:type="dxa" w:w="1461"/>
          </w:tcPr>
          <w:p>
            <w:r>
              <w:t>99.9%</w:t>
            </w:r>
          </w:p>
        </w:tc>
        <w:tc>
          <w:tcPr>
            <w:tcW w:type="dxa" w:w="1461"/>
          </w:tcPr>
          <w:p>
            <w:r>
              <w:t>300 ms</w:t>
            </w:r>
          </w:p>
        </w:tc>
        <w:tc>
          <w:tcPr>
            <w:tcW w:type="dxa" w:w="1461"/>
          </w:tcPr>
          <w:p>
            <w:r>
              <w:t>15 min</w:t>
            </w:r>
          </w:p>
        </w:tc>
        <w:tc>
          <w:tcPr>
            <w:tcW w:type="dxa" w:w="1461"/>
          </w:tcPr>
          <w:p>
            <w:r>
              <w:t>30 min</w:t>
            </w:r>
          </w:p>
        </w:tc>
        <w:tc>
          <w:tcPr>
            <w:tcW w:type="dxa" w:w="1461"/>
          </w:tcPr>
          <w:p>
            <w:r>
              <w:t>25,000</w:t>
            </w:r>
          </w:p>
        </w:tc>
      </w:tr>
    </w:tbl>
    <w:p>
      <w:r>
        <w:t>Source-provided architecture notes:</w:t>
      </w:r>
    </w:p>
    <w:p>
      <w:pPr>
        <w:pStyle w:val="ListBullet"/>
      </w:pPr>
      <w:r>
        <w:t>Lean: Single region minimal managed services. Trade-off: Lowest cost with slower recovery.</w:t>
      </w:r>
    </w:p>
    <w:p>
      <w:pPr>
        <w:pStyle w:val="ListBullet"/>
      </w:pPr>
      <w:r>
        <w:t>Balanced: Managed database plus autoscaling application tier. Trade-off: Balanced reliability and cost.</w:t>
      </w:r>
    </w:p>
    <w:p>
      <w:pPr>
        <w:pStyle w:val="ListBullet"/>
      </w:pPr>
      <w:r>
        <w:t>Resilient: Multi-zone services with tested backups. Trade-off: Higher cost for stronger continuity.</w:t>
      </w:r>
    </w:p>
    <w:p>
      <w:pPr>
        <w:pStyle w:val="Heading1"/>
      </w:pPr>
      <w:r>
        <w:t>4. SLIs, SLOs, error budget, and paging</w:t>
      </w:r>
    </w:p>
    <w:p>
      <w:r>
        <w:t>Measurement window: rolling 30 days. SLI definitions should exclude only explicitly documented invalid/test traffic; do not exclude ordinary customer failures just to improve the score.</w:t>
      </w:r>
    </w:p>
    <w:p>
      <w:r>
        <w:t>Availability SLI = successful eligible HTTP requests ÷ all eligible HTTP requests × 100. A successful request is a valid user request that receives an expected successful response.</w:t>
      </w:r>
    </w:p>
    <w:p>
      <w:r>
        <w:t>Latency SLI = eligible requests completed within the scenario latency threshold ÷ all eligible requests × 100. The source file supplies a p95 latency target; use telemetry to measure the p95 distribution and confirm the chosen target.</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Scenario</w:t>
            </w:r>
          </w:p>
        </w:tc>
        <w:tc>
          <w:tcPr>
            <w:tcW w:type="dxa" w:w="2045"/>
          </w:tcPr>
          <w:p>
            <w:r>
              <w:t>Availability SLO</w:t>
            </w:r>
          </w:p>
        </w:tc>
        <w:tc>
          <w:tcPr>
            <w:tcW w:type="dxa" w:w="2045"/>
          </w:tcPr>
          <w:p>
            <w:r>
              <w:t>30-day downtime budget</w:t>
            </w:r>
          </w:p>
        </w:tc>
        <w:tc>
          <w:tcPr>
            <w:tcW w:type="dxa" w:w="2045"/>
          </w:tcPr>
          <w:p>
            <w:r>
              <w:t>P95 target</w:t>
            </w:r>
          </w:p>
        </w:tc>
        <w:tc>
          <w:tcPr>
            <w:tcW w:type="dxa" w:w="2045"/>
          </w:tcPr>
          <w:p>
            <w:r>
              <w:t>RPO / RTO</w:t>
            </w:r>
          </w:p>
        </w:tc>
      </w:tr>
      <w:tr>
        <w:tc>
          <w:tcPr>
            <w:tcW w:type="dxa" w:w="2045"/>
          </w:tcPr>
          <w:p>
            <w:r>
              <w:t>Lean</w:t>
            </w:r>
          </w:p>
        </w:tc>
        <w:tc>
          <w:tcPr>
            <w:tcW w:type="dxa" w:w="2045"/>
          </w:tcPr>
          <w:p>
            <w:r>
              <w:t>99.0%</w:t>
            </w:r>
          </w:p>
        </w:tc>
        <w:tc>
          <w:tcPr>
            <w:tcW w:type="dxa" w:w="2045"/>
          </w:tcPr>
          <w:p>
            <w:r>
              <w:t>432 minutes</w:t>
            </w:r>
          </w:p>
        </w:tc>
        <w:tc>
          <w:tcPr>
            <w:tcW w:type="dxa" w:w="2045"/>
          </w:tcPr>
          <w:p>
            <w:r>
              <w:t>800 ms</w:t>
            </w:r>
          </w:p>
        </w:tc>
        <w:tc>
          <w:tcPr>
            <w:tcW w:type="dxa" w:w="2045"/>
          </w:tcPr>
          <w:p>
            <w:r>
              <w:t>1440 / 240 minutes</w:t>
            </w:r>
          </w:p>
        </w:tc>
      </w:tr>
      <w:tr>
        <w:tc>
          <w:tcPr>
            <w:tcW w:type="dxa" w:w="2045"/>
          </w:tcPr>
          <w:p>
            <w:r>
              <w:t>Balanced</w:t>
            </w:r>
          </w:p>
        </w:tc>
        <w:tc>
          <w:tcPr>
            <w:tcW w:type="dxa" w:w="2045"/>
          </w:tcPr>
          <w:p>
            <w:r>
              <w:t>99.5%</w:t>
            </w:r>
          </w:p>
        </w:tc>
        <w:tc>
          <w:tcPr>
            <w:tcW w:type="dxa" w:w="2045"/>
          </w:tcPr>
          <w:p>
            <w:r>
              <w:t>216 minutes</w:t>
            </w:r>
          </w:p>
        </w:tc>
        <w:tc>
          <w:tcPr>
            <w:tcW w:type="dxa" w:w="2045"/>
          </w:tcPr>
          <w:p>
            <w:r>
              <w:t>500 ms</w:t>
            </w:r>
          </w:p>
        </w:tc>
        <w:tc>
          <w:tcPr>
            <w:tcW w:type="dxa" w:w="2045"/>
          </w:tcPr>
          <w:p>
            <w:r>
              <w:t>60 / 60 minutes</w:t>
            </w:r>
          </w:p>
        </w:tc>
      </w:tr>
      <w:tr>
        <w:tc>
          <w:tcPr>
            <w:tcW w:type="dxa" w:w="2045"/>
          </w:tcPr>
          <w:p>
            <w:r>
              <w:t>Resilient</w:t>
            </w:r>
          </w:p>
        </w:tc>
        <w:tc>
          <w:tcPr>
            <w:tcW w:type="dxa" w:w="2045"/>
          </w:tcPr>
          <w:p>
            <w:r>
              <w:t>99.9%</w:t>
            </w:r>
          </w:p>
        </w:tc>
        <w:tc>
          <w:tcPr>
            <w:tcW w:type="dxa" w:w="2045"/>
          </w:tcPr>
          <w:p>
            <w:r>
              <w:t>43 minutes</w:t>
            </w:r>
          </w:p>
        </w:tc>
        <w:tc>
          <w:tcPr>
            <w:tcW w:type="dxa" w:w="2045"/>
          </w:tcPr>
          <w:p>
            <w:r>
              <w:t>300 ms</w:t>
            </w:r>
          </w:p>
        </w:tc>
        <w:tc>
          <w:tcPr>
            <w:tcW w:type="dxa" w:w="2045"/>
          </w:tcPr>
          <w:p>
            <w:r>
              <w:t>15 / 30 minutes</w:t>
            </w:r>
          </w:p>
        </w:tc>
      </w:tr>
    </w:tbl>
    <w:p>
      <w:r>
        <w:t>Suggested paging thresholds (initial values; tune with observed traffic):</w:t>
      </w:r>
    </w:p>
    <w:p>
      <w:pPr>
        <w:pStyle w:val="ListBullet"/>
      </w:pPr>
      <w:r>
        <w:t>Page the on-call owner if HTTP 5xx responses exceed 5% of requests for 5 consecutive minutes, provided request volume is sufficient.</w:t>
      </w:r>
    </w:p>
    <w:p>
      <w:pPr>
        <w:pStyle w:val="ListBullet"/>
      </w:pPr>
      <w:r>
        <w:t>Page if the availability error-budget burn rate is greater than 2× for 10 minutes, or if the service is unreachable from an external health probe.</w:t>
      </w:r>
    </w:p>
    <w:p>
      <w:pPr>
        <w:pStyle w:val="ListBullet"/>
      </w:pPr>
      <w:r>
        <w:t>Warn (ticket/chat notification) when p95 latency exceeds the scenario target for 10 minutes; page if the breach is sustained and user impact is confirmed.</w:t>
      </w:r>
    </w:p>
    <w:p>
      <w:pPr>
        <w:pStyle w:val="ListBullet"/>
      </w:pPr>
      <w:r>
        <w:t>Alert on database connection exhaustion, failed health checks, backup failure, or recovery-test failure.</w:t>
      </w:r>
    </w:p>
    <w:p>
      <w:r>
        <w:t>Error budget = 100% − availability SLO. For a 30-day month (43,200 minutes), the Lean 99% SLO permits 432 minutes of downtime; Balanced 99.5% permits 216 minutes; Resilient 99.9% permits 43.2 minutes. These are mathematical budgets, not a promise that downtime will occur.</w:t>
      </w:r>
    </w:p>
    <w:p>
      <w:pPr>
        <w:pStyle w:val="Heading1"/>
      </w:pPr>
      <w:r>
        <w:t>5. Three-scenario monthly cost model</w:t>
      </w:r>
    </w:p>
    <w:p>
      <w:r>
        <w:t>The estimates below allocate each supplied budget across compute, storage, data transfer, logging/monitoring, backups, and support/operations. They are illustrative planning allocations because the CSV contains budget envelopes, not measured AWS usage or service-level pricing. Replace them with AWS Pricing Calculator estimates after choosing Region, instance/database sizes, storage volumes, traffic, log ingestion, backup retention, and support plan.</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Scenario</w:t>
            </w:r>
          </w:p>
        </w:tc>
        <w:tc>
          <w:tcPr>
            <w:tcW w:type="dxa" w:w="1278"/>
          </w:tcPr>
          <w:p>
            <w:r>
              <w:t>Compute</w:t>
            </w:r>
          </w:p>
        </w:tc>
        <w:tc>
          <w:tcPr>
            <w:tcW w:type="dxa" w:w="1278"/>
          </w:tcPr>
          <w:p>
            <w:r>
              <w:t>Storage</w:t>
            </w:r>
          </w:p>
        </w:tc>
        <w:tc>
          <w:tcPr>
            <w:tcW w:type="dxa" w:w="1278"/>
          </w:tcPr>
          <w:p>
            <w:r>
              <w:t>Transfer</w:t>
            </w:r>
          </w:p>
        </w:tc>
        <w:tc>
          <w:tcPr>
            <w:tcW w:type="dxa" w:w="1278"/>
          </w:tcPr>
          <w:p>
            <w:r>
              <w:t>Logs/monitoring</w:t>
            </w:r>
          </w:p>
        </w:tc>
        <w:tc>
          <w:tcPr>
            <w:tcW w:type="dxa" w:w="1278"/>
          </w:tcPr>
          <w:p>
            <w:r>
              <w:t>Backup</w:t>
            </w:r>
          </w:p>
        </w:tc>
        <w:tc>
          <w:tcPr>
            <w:tcW w:type="dxa" w:w="1278"/>
          </w:tcPr>
          <w:p>
            <w:r>
              <w:t>Support/ops</w:t>
            </w:r>
          </w:p>
        </w:tc>
        <w:tc>
          <w:tcPr>
            <w:tcW w:type="dxa" w:w="1278"/>
          </w:tcPr>
          <w:p>
            <w:r>
              <w:t>Total</w:t>
            </w:r>
          </w:p>
        </w:tc>
      </w:tr>
      <w:tr>
        <w:tc>
          <w:tcPr>
            <w:tcW w:type="dxa" w:w="1278"/>
          </w:tcPr>
          <w:p>
            <w:r>
              <w:t>Lean</w:t>
            </w:r>
          </w:p>
        </w:tc>
        <w:tc>
          <w:tcPr>
            <w:tcW w:type="dxa" w:w="1278"/>
          </w:tcPr>
          <w:p>
            <w:r>
              <w:t>₹800</w:t>
            </w:r>
          </w:p>
        </w:tc>
        <w:tc>
          <w:tcPr>
            <w:tcW w:type="dxa" w:w="1278"/>
          </w:tcPr>
          <w:p>
            <w:r>
              <w:t>₹150</w:t>
            </w:r>
          </w:p>
        </w:tc>
        <w:tc>
          <w:tcPr>
            <w:tcW w:type="dxa" w:w="1278"/>
          </w:tcPr>
          <w:p>
            <w:r>
              <w:t>₹250</w:t>
            </w:r>
          </w:p>
        </w:tc>
        <w:tc>
          <w:tcPr>
            <w:tcW w:type="dxa" w:w="1278"/>
          </w:tcPr>
          <w:p>
            <w:r>
              <w:t>₹200</w:t>
            </w:r>
          </w:p>
        </w:tc>
        <w:tc>
          <w:tcPr>
            <w:tcW w:type="dxa" w:w="1278"/>
          </w:tcPr>
          <w:p>
            <w:r>
              <w:t>₹100</w:t>
            </w:r>
          </w:p>
        </w:tc>
        <w:tc>
          <w:tcPr>
            <w:tcW w:type="dxa" w:w="1278"/>
          </w:tcPr>
          <w:p>
            <w:r>
              <w:t>₹1,000</w:t>
            </w:r>
          </w:p>
        </w:tc>
        <w:tc>
          <w:tcPr>
            <w:tcW w:type="dxa" w:w="1278"/>
          </w:tcPr>
          <w:p>
            <w:r>
              <w:t>₹2,500</w:t>
            </w:r>
          </w:p>
        </w:tc>
      </w:tr>
      <w:tr>
        <w:tc>
          <w:tcPr>
            <w:tcW w:type="dxa" w:w="1278"/>
          </w:tcPr>
          <w:p>
            <w:r>
              <w:t>Balanced</w:t>
            </w:r>
          </w:p>
        </w:tc>
        <w:tc>
          <w:tcPr>
            <w:tcW w:type="dxa" w:w="1278"/>
          </w:tcPr>
          <w:p>
            <w:r>
              <w:t>₹2,500</w:t>
            </w:r>
          </w:p>
        </w:tc>
        <w:tc>
          <w:tcPr>
            <w:tcW w:type="dxa" w:w="1278"/>
          </w:tcPr>
          <w:p>
            <w:r>
              <w:t>₹650</w:t>
            </w:r>
          </w:p>
        </w:tc>
        <w:tc>
          <w:tcPr>
            <w:tcW w:type="dxa" w:w="1278"/>
          </w:tcPr>
          <w:p>
            <w:r>
              <w:t>₹900</w:t>
            </w:r>
          </w:p>
        </w:tc>
        <w:tc>
          <w:tcPr>
            <w:tcW w:type="dxa" w:w="1278"/>
          </w:tcPr>
          <w:p>
            <w:r>
              <w:t>₹650</w:t>
            </w:r>
          </w:p>
        </w:tc>
        <w:tc>
          <w:tcPr>
            <w:tcW w:type="dxa" w:w="1278"/>
          </w:tcPr>
          <w:p>
            <w:r>
              <w:t>₹500</w:t>
            </w:r>
          </w:p>
        </w:tc>
        <w:tc>
          <w:tcPr>
            <w:tcW w:type="dxa" w:w="1278"/>
          </w:tcPr>
          <w:p>
            <w:r>
              <w:t>₹2,800</w:t>
            </w:r>
          </w:p>
        </w:tc>
        <w:tc>
          <w:tcPr>
            <w:tcW w:type="dxa" w:w="1278"/>
          </w:tcPr>
          <w:p>
            <w:r>
              <w:t>₹8,000</w:t>
            </w:r>
          </w:p>
        </w:tc>
      </w:tr>
      <w:tr>
        <w:tc>
          <w:tcPr>
            <w:tcW w:type="dxa" w:w="1278"/>
          </w:tcPr>
          <w:p>
            <w:r>
              <w:t>Resilient</w:t>
            </w:r>
          </w:p>
        </w:tc>
        <w:tc>
          <w:tcPr>
            <w:tcW w:type="dxa" w:w="1278"/>
          </w:tcPr>
          <w:p>
            <w:r>
              <w:t>₹7,000</w:t>
            </w:r>
          </w:p>
        </w:tc>
        <w:tc>
          <w:tcPr>
            <w:tcW w:type="dxa" w:w="1278"/>
          </w:tcPr>
          <w:p>
            <w:r>
              <w:t>₹2,200</w:t>
            </w:r>
          </w:p>
        </w:tc>
        <w:tc>
          <w:tcPr>
            <w:tcW w:type="dxa" w:w="1278"/>
          </w:tcPr>
          <w:p>
            <w:r>
              <w:t>₹3,500</w:t>
            </w:r>
          </w:p>
        </w:tc>
        <w:tc>
          <w:tcPr>
            <w:tcW w:type="dxa" w:w="1278"/>
          </w:tcPr>
          <w:p>
            <w:r>
              <w:t>₹1,800</w:t>
            </w:r>
          </w:p>
        </w:tc>
        <w:tc>
          <w:tcPr>
            <w:tcW w:type="dxa" w:w="1278"/>
          </w:tcPr>
          <w:p>
            <w:r>
              <w:t>₹1,800</w:t>
            </w:r>
          </w:p>
        </w:tc>
        <w:tc>
          <w:tcPr>
            <w:tcW w:type="dxa" w:w="1278"/>
          </w:tcPr>
          <w:p>
            <w:r>
              <w:t>₹8,700</w:t>
            </w:r>
          </w:p>
        </w:tc>
        <w:tc>
          <w:tcPr>
            <w:tcW w:type="dxa" w:w="1278"/>
          </w:tcPr>
          <w:p>
            <w:r>
              <w:t>₹25,000</w:t>
            </w:r>
          </w:p>
        </w:tc>
      </w:tr>
    </w:tbl>
    <w:p>
      <w:r>
        <w:t>Cost-model assumptions:</w:t>
      </w:r>
    </w:p>
    <w:p>
      <w:pPr>
        <w:pStyle w:val="ListBullet"/>
      </w:pPr>
      <w:r>
        <w:t>Lean: one small application instance, modest storage and logs, infrequent backups, and minimal operational overhead.</w:t>
      </w:r>
    </w:p>
    <w:p>
      <w:pPr>
        <w:pStyle w:val="ListBullet"/>
      </w:pPr>
      <w:r>
        <w:t>Balanced: managed data tier, application autoscaling, more monitoring, and more frequent backups.</w:t>
      </w:r>
    </w:p>
    <w:p>
      <w:pPr>
        <w:pStyle w:val="ListBullet"/>
      </w:pPr>
      <w:r>
        <w:t>Resilient: multi-zone application/data services, higher transfer and telemetry allowances, tested backups, and greater operational overhead.</w:t>
      </w:r>
    </w:p>
    <w:p>
      <w:pPr>
        <w:pStyle w:val="ListBullet"/>
      </w:pPr>
      <w:r>
        <w:t>Taxes, currency conversion, free-tier eligibility, support plan specifics, idle resources, and data egress can change actual charges. Confirm all prices before deployment.</w:t>
      </w:r>
    </w:p>
    <w:p>
      <w:pPr>
        <w:pStyle w:val="Heading1"/>
      </w:pPr>
      <w:r>
        <w:t>6. Architecture Decision Records (ADRs)</w:t>
      </w:r>
    </w:p>
    <w:p>
      <w:pPr>
        <w:pStyle w:val="Heading2"/>
      </w:pPr>
      <w:r>
        <w:t>ADR-001 — Region and availability zones</w:t>
      </w:r>
    </w:p>
    <w:p>
      <w:r>
        <w:t>Decision: Select one AWS Region close to the main users. Use multiple Availability Zones for Balanced and Resilient where budget and service support allow.</w:t>
      </w:r>
    </w:p>
    <w:p>
      <w:r>
        <w:t>Rationale: Keeps latency and operational scope understandable while reducing single-zone failure risk.</w:t>
      </w:r>
    </w:p>
    <w:p>
      <w:r>
        <w:t>Trade-off: Multi-AZ adds cost; a single Region does not protect against a Region-wide outage.</w:t>
      </w:r>
    </w:p>
    <w:p>
      <w:pPr>
        <w:pStyle w:val="Heading2"/>
      </w:pPr>
      <w:r>
        <w:t>ADR-002 — Recovery objectives</w:t>
      </w:r>
    </w:p>
    <w:p>
      <w:r>
        <w:t>Decision: Adopt the source CSV RPO/RTO for the selected scenario and document backup frequency, retention, restore owner, and test schedule.</w:t>
      </w:r>
    </w:p>
    <w:p>
      <w:r>
        <w:t>Rationale: Turns recovery expectations into measurable operational requirements.</w:t>
      </w:r>
    </w:p>
    <w:p>
      <w:r>
        <w:t>Trade-off: Targets remain unproven until a restore/recovery exercise demonstrates them.</w:t>
      </w:r>
    </w:p>
    <w:p>
      <w:pPr>
        <w:pStyle w:val="Heading2"/>
      </w:pPr>
      <w:r>
        <w:t>ADR-003 — Secrets</w:t>
      </w:r>
    </w:p>
    <w:p>
      <w:r>
        <w:t>Decision: Store secrets in a managed secret/parameter service; do not place passwords, tokens, or private keys in source code, Git, or machine images.</w:t>
      </w:r>
    </w:p>
    <w:p>
      <w:r>
        <w:t>Rationale: Supports controlled access, rotation, and auditing.</w:t>
      </w:r>
    </w:p>
    <w:p>
      <w:r>
        <w:t>Trade-off: Adds configuration effort and may add recurring charges.</w:t>
      </w:r>
    </w:p>
    <w:p>
      <w:pPr>
        <w:pStyle w:val="Heading2"/>
      </w:pPr>
      <w:r>
        <w:t>ADR-004 — Least-privilege access</w:t>
      </w:r>
    </w:p>
    <w:p>
      <w:r>
        <w:t>Decision: Use workload IAM roles and narrowly scoped policies. Avoid broad wildcards and long-lived access keys where role-based access is possible.</w:t>
      </w:r>
    </w:p>
    <w:p>
      <w:r>
        <w:t>Rationale: Limits the impact of a compromised identity and supports auditable access.</w:t>
      </w:r>
    </w:p>
    <w:p>
      <w:r>
        <w:t>Trade-off: Policies need review when application permissions change.</w:t>
      </w:r>
    </w:p>
    <w:p>
      <w:pPr>
        <w:pStyle w:val="Heading2"/>
      </w:pPr>
      <w:r>
        <w:t>ADR-005 — Deployment and rollback</w:t>
      </w:r>
    </w:p>
    <w:p>
      <w:r>
        <w:t>Decision: Deploy in stages, run health checks and smoke tests, keep a known-good version, and roll back when checks fail.</w:t>
      </w:r>
    </w:p>
    <w:p>
      <w:r>
        <w:t>Rationale: Reduces change-related incidents and makes recovery repeatable.</w:t>
      </w:r>
    </w:p>
    <w:p>
      <w:r>
        <w:t>Trade-off: Requires release discipline and basic testing.</w:t>
      </w:r>
    </w:p>
    <w:p>
      <w:pPr>
        <w:pStyle w:val="Heading1"/>
      </w:pPr>
      <w:r>
        <w:t>7. Operational checklist</w:t>
      </w:r>
    </w:p>
    <w:p>
      <w:pPr>
        <w:pStyle w:val="ListBullet"/>
      </w:pPr>
      <w:r>
        <w:t>Dashboard shows request volume, success rate, p95 latency, 5xx rate, and error-budget burn.</w:t>
      </w:r>
    </w:p>
    <w:p>
      <w:pPr>
        <w:pStyle w:val="ListBullet"/>
      </w:pPr>
      <w:r>
        <w:t>Health checks cover both the application and its critical data dependency.</w:t>
      </w:r>
    </w:p>
    <w:p>
      <w:pPr>
        <w:pStyle w:val="ListBullet"/>
      </w:pPr>
      <w:r>
        <w:t>Backups are monitored and a restore test is scheduled and recorded.</w:t>
      </w:r>
    </w:p>
    <w:p>
      <w:pPr>
        <w:pStyle w:val="ListBullet"/>
      </w:pPr>
      <w:r>
        <w:t>Alerts have an owner, severity, and runbook; noisy alerts are reviewed.</w:t>
      </w:r>
    </w:p>
    <w:p>
      <w:pPr>
        <w:pStyle w:val="ListBullet"/>
      </w:pPr>
      <w:r>
        <w:t>IAM access follows least privilege; secrets are not committed to source control.</w:t>
      </w:r>
    </w:p>
    <w:p>
      <w:pPr>
        <w:pStyle w:val="ListBullet"/>
      </w:pPr>
      <w:r>
        <w:t>Cost is reviewed against the monthly envelope; budgets/alerts are configured where available.</w:t>
      </w:r>
    </w:p>
    <w:p>
      <w:pPr>
        <w:pStyle w:val="ListBullet"/>
      </w:pPr>
      <w:r>
        <w:t>A deployment rollback procedure is documented and tested.</w:t>
      </w:r>
    </w:p>
    <w:p>
      <w:pPr>
        <w:pStyle w:val="Heading1"/>
      </w:pPr>
      <w:r>
        <w:t>8. Limitations and next steps</w:t>
      </w:r>
    </w:p>
    <w:p>
      <w:r>
        <w:t>This is a design artifact, not evidence that AWS resources have been deployed, measured, or load-tested. The cost allocations are illustrative. Next: confirm the chosen scenario, replace estimates with a region-specific calculator estimate, select concrete AWS services, implement telemetry, and validate SLOs and recovery objectives with tests.</w:t>
      </w:r>
    </w:p>
    <w:p>
      <w:pPr>
        <w:pStyle w:val="Heading1"/>
      </w:pPr>
      <w:r>
        <w:t>References</w:t>
      </w:r>
    </w:p>
    <w:p>
      <w:r>
        <w:t>AWS Well-Architected Framework — https://docs.aws.amazon.com/wellarchitected/latest/framework/</w:t>
      </w:r>
    </w:p>
    <w:p>
      <w:r>
        <w:t>AWS Security Design Principles — https://docs.aws.amazon.com/wellarchitected/latest/framework/sec-design.html</w:t>
      </w:r>
    </w:p>
    <w:p>
      <w:r>
        <w:t>Google Cloud Monitoring: Concepts in service monitoring (SLIs, SLOs, error budgets) — https://docs.cloud.google.com/stackdriver/docs/solutions/slo-monitoring</w:t>
      </w:r>
    </w:p>
    <w:p>
      <w:r>
        <w:t>Source data: user-supplied file, slo-cost-envelope (1).csv.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