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32"/>
        </w:rPr>
        <w:t>General Liability Underwriting Guidelines 2024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1. Underwriting Appetite &amp; Target Market</w:t>
      </w:r>
    </w:p>
    <w:p>
      <w:pPr>
        <w:spacing w:after="80"/>
      </w:pPr>
      <w:r>
        <w:rPr>
          <w:sz w:val="20"/>
        </w:rPr>
        <w:t xml:space="preserve">InsurRateX Commercial Lines Division - Effective January 1, 2024</w:t>
      </w:r>
    </w:p>
    <w:p>
      <w:r>
        <w:t/>
      </w:r>
    </w:p>
    <w:p>
      <w:pPr>
        <w:spacing w:after="80"/>
      </w:pPr>
      <w:r>
        <w:rPr>
          <w:sz w:val="20"/>
        </w:rPr>
        <w:t xml:space="preserve">TARGET CLASSES (Preferred - standard rates):</w:t>
      </w:r>
    </w:p>
    <w:p>
      <w:pPr>
        <w:spacing w:after="80"/>
      </w:pPr>
      <w:r>
        <w:rPr>
          <w:sz w:val="20"/>
        </w:rPr>
        <w:t xml:space="preserve">  - Retail and service businesses with stable revenue history</w:t>
      </w:r>
    </w:p>
    <w:p>
      <w:pPr>
        <w:spacing w:after="80"/>
      </w:pPr>
      <w:r>
        <w:rPr>
          <w:sz w:val="20"/>
        </w:rPr>
        <w:t xml:space="preserve">  - Office operations with no public exposure</w:t>
      </w:r>
    </w:p>
    <w:p>
      <w:pPr>
        <w:spacing w:after="80"/>
      </w:pPr>
      <w:r>
        <w:rPr>
          <w:sz w:val="20"/>
        </w:rPr>
        <w:t xml:space="preserve">  - Restaurants with gross receipts under $2M annually</w:t>
      </w:r>
    </w:p>
    <w:p>
      <w:pPr>
        <w:spacing w:after="80"/>
      </w:pPr>
      <w:r>
        <w:rPr>
          <w:sz w:val="20"/>
        </w:rPr>
        <w:t xml:space="preserve">  - Light manufacturing with no hazardous materials</w:t>
      </w:r>
    </w:p>
    <w:p>
      <w:pPr>
        <w:spacing w:after="80"/>
      </w:pPr>
      <w:r>
        <w:rPr>
          <w:sz w:val="20"/>
        </w:rPr>
        <w:t xml:space="preserve">  - Contractors with annual payroll under $1M</w:t>
      </w:r>
    </w:p>
    <w:p>
      <w:r>
        <w:t/>
      </w:r>
    </w:p>
    <w:p>
      <w:pPr>
        <w:spacing w:after="80"/>
      </w:pPr>
      <w:r>
        <w:rPr>
          <w:sz w:val="20"/>
        </w:rPr>
        <w:t xml:space="preserve">ACCEPTABLE CLASSES (Standard to non-standard rates may apply):</w:t>
      </w:r>
    </w:p>
    <w:p>
      <w:pPr>
        <w:spacing w:after="80"/>
      </w:pPr>
      <w:r>
        <w:rPr>
          <w:sz w:val="20"/>
        </w:rPr>
        <w:t xml:space="preserve">  - Restaurants with alcohol service (must be &lt;50% of revenue)</w:t>
      </w:r>
    </w:p>
    <w:p>
      <w:pPr>
        <w:spacing w:after="80"/>
      </w:pPr>
      <w:r>
        <w:rPr>
          <w:sz w:val="20"/>
        </w:rPr>
        <w:t xml:space="preserve">  - General contractors with 3+ years experience and clean loss history</w:t>
      </w:r>
    </w:p>
    <w:p>
      <w:pPr>
        <w:spacing w:after="80"/>
      </w:pPr>
      <w:r>
        <w:rPr>
          <w:sz w:val="20"/>
        </w:rPr>
        <w:t xml:space="preserve">  - Wholesale distributors of non-hazardous products</w:t>
      </w:r>
    </w:p>
    <w:p>
      <w:pPr>
        <w:spacing w:after="80"/>
      </w:pPr>
      <w:r>
        <w:rPr>
          <w:sz w:val="20"/>
        </w:rPr>
        <w:t xml:space="preserve">  - Technology companies with limited products liability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2. Eligibility Requirements</w:t>
      </w:r>
    </w:p>
    <w:p>
      <w:pPr>
        <w:spacing w:after="80"/>
      </w:pPr>
      <w:r>
        <w:rPr>
          <w:sz w:val="20"/>
        </w:rPr>
        <w:t xml:space="preserve">All applications must include:</w:t>
      </w:r>
    </w:p>
    <w:p>
      <w:r>
        <w:t/>
      </w:r>
    </w:p>
    <w:p>
      <w:pPr>
        <w:spacing w:after="80"/>
      </w:pPr>
      <w:r>
        <w:rPr>
          <w:sz w:val="20"/>
        </w:rPr>
        <w:t xml:space="preserve">  A. Completed ACORD 125 application (signed within 90 days of effective date)</w:t>
      </w:r>
    </w:p>
    <w:p>
      <w:pPr>
        <w:spacing w:after="80"/>
      </w:pPr>
      <w:r>
        <w:rPr>
          <w:sz w:val="20"/>
        </w:rPr>
        <w:t xml:space="preserve">  B. Currently valued loss runs for prior 3 policy years</w:t>
      </w:r>
    </w:p>
    <w:p>
      <w:pPr>
        <w:spacing w:after="80"/>
      </w:pPr>
      <w:r>
        <w:rPr>
          <w:sz w:val="20"/>
        </w:rPr>
        <w:t xml:space="preserve">     - If first-time buyer: signed letter of no prior losses on company letterhead</w:t>
      </w:r>
    </w:p>
    <w:p>
      <w:pPr>
        <w:spacing w:after="80"/>
      </w:pPr>
      <w:r>
        <w:rPr>
          <w:sz w:val="20"/>
        </w:rPr>
        <w:t xml:space="preserve">  C. Prior carrier information (name, policy number, expiration date)</w:t>
      </w:r>
    </w:p>
    <w:p>
      <w:pPr>
        <w:spacing w:after="80"/>
      </w:pPr>
      <w:r>
        <w:rPr>
          <w:sz w:val="20"/>
        </w:rPr>
        <w:t xml:space="preserve">  D. For revenue over $2,000,000: most recent year financial statements</w:t>
      </w:r>
    </w:p>
    <w:p>
      <w:pPr>
        <w:spacing w:after="80"/>
      </w:pPr>
      <w:r>
        <w:rPr>
          <w:sz w:val="20"/>
        </w:rPr>
        <w:t xml:space="preserve">  E. For 10+ employees: OSHA 300 log for prior 3 years</w:t>
      </w:r>
    </w:p>
    <w:p>
      <w:pPr>
        <w:spacing w:after="80"/>
      </w:pPr>
      <w:r>
        <w:rPr>
          <w:sz w:val="20"/>
        </w:rPr>
        <w:t xml:space="preserve">  F. Description of all operations including any seasonal activities</w:t>
      </w:r>
    </w:p>
    <w:p>
      <w:r>
        <w:t/>
      </w:r>
    </w:p>
    <w:p>
      <w:pPr>
        <w:spacing w:after="80"/>
      </w:pPr>
      <w:r>
        <w:rPr>
          <w:sz w:val="20"/>
        </w:rPr>
        <w:t xml:space="preserve">INSPECTION REQUIREMENTS:</w:t>
      </w:r>
    </w:p>
    <w:p>
      <w:pPr>
        <w:spacing w:after="80"/>
      </w:pPr>
      <w:r>
        <w:rPr>
          <w:sz w:val="20"/>
        </w:rPr>
        <w:t xml:space="preserve">  - All new accounts with annual premium over $5,000: interior inspection required</w:t>
      </w:r>
    </w:p>
    <w:p>
      <w:pPr>
        <w:spacing w:after="80"/>
      </w:pPr>
      <w:r>
        <w:rPr>
          <w:sz w:val="20"/>
        </w:rPr>
        <w:t xml:space="preserve">  - All restaurants: health department grade must be B or better</w:t>
      </w:r>
    </w:p>
    <w:p>
      <w:pPr>
        <w:spacing w:after="80"/>
      </w:pPr>
      <w:r>
        <w:rPr>
          <w:sz w:val="20"/>
        </w:rPr>
        <w:t xml:space="preserve">  - Contractors: review of subcontractor agreement and certificate requirements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3. Prohibited / Ineligible Risks</w:t>
      </w:r>
    </w:p>
    <w:p>
      <w:pPr>
        <w:spacing w:after="80"/>
      </w:pPr>
      <w:r>
        <w:rPr>
          <w:sz w:val="20"/>
        </w:rPr>
        <w:t xml:space="preserve">The following risks are ineligible and must be declined without exception:</w:t>
      </w:r>
    </w:p>
    <w:p>
      <w:r>
        <w:t/>
      </w:r>
    </w:p>
    <w:p>
      <w:pPr>
        <w:spacing w:after="80"/>
      </w:pPr>
      <w:r>
        <w:rPr>
          <w:sz w:val="20"/>
        </w:rPr>
        <w:t xml:space="preserve">  ABSOLUTE DECLINES:</w:t>
      </w:r>
    </w:p>
    <w:p>
      <w:pPr>
        <w:spacing w:after="80"/>
      </w:pPr>
      <w:r>
        <w:rPr>
          <w:sz w:val="20"/>
        </w:rPr>
        <w:t xml:space="preserve">  - Asbestos abatement or removal contractors</w:t>
      </w:r>
    </w:p>
    <w:p>
      <w:pPr>
        <w:spacing w:after="80"/>
      </w:pPr>
      <w:r>
        <w:rPr>
          <w:sz w:val="20"/>
        </w:rPr>
        <w:t xml:space="preserve">  - Lead paint removal contractors</w:t>
      </w:r>
    </w:p>
    <w:p>
      <w:pPr>
        <w:spacing w:after="80"/>
      </w:pPr>
      <w:r>
        <w:rPr>
          <w:sz w:val="20"/>
        </w:rPr>
        <w:t xml:space="preserve">  - Underground storage tank installers or removers</w:t>
      </w:r>
    </w:p>
    <w:p>
      <w:pPr>
        <w:spacing w:after="80"/>
      </w:pPr>
      <w:r>
        <w:rPr>
          <w:sz w:val="20"/>
        </w:rPr>
        <w:t xml:space="preserve">  - Nuclear energy facilities or contractors</w:t>
      </w:r>
    </w:p>
    <w:p>
      <w:pPr>
        <w:spacing w:after="80"/>
      </w:pPr>
      <w:r>
        <w:rPr>
          <w:sz w:val="20"/>
        </w:rPr>
        <w:t xml:space="preserve">  - Adult entertainment businesses</w:t>
      </w:r>
    </w:p>
    <w:p>
      <w:pPr>
        <w:spacing w:after="80"/>
      </w:pPr>
      <w:r>
        <w:rPr>
          <w:sz w:val="20"/>
        </w:rPr>
        <w:t xml:space="preserve">  - Firearms or ammunition manufacturers</w:t>
      </w:r>
    </w:p>
    <w:p>
      <w:pPr>
        <w:spacing w:after="80"/>
      </w:pPr>
      <w:r>
        <w:rPr>
          <w:sz w:val="20"/>
        </w:rPr>
        <w:t xml:space="preserve">  - Aviation (any exposure including drones for hire)</w:t>
      </w:r>
    </w:p>
    <w:p>
      <w:pPr>
        <w:spacing w:after="80"/>
      </w:pPr>
      <w:r>
        <w:rPr>
          <w:sz w:val="20"/>
        </w:rPr>
        <w:t xml:space="preserve">  - Cannabis dispensaries, growers, or processors</w:t>
      </w:r>
    </w:p>
    <w:p>
      <w:pPr>
        <w:spacing w:after="80"/>
      </w:pPr>
      <w:r>
        <w:rPr>
          <w:sz w:val="20"/>
        </w:rPr>
        <w:t xml:space="preserve">  - Sovereign immunity or governmental entities</w:t>
      </w:r>
    </w:p>
    <w:p>
      <w:r>
        <w:t/>
      </w:r>
    </w:p>
    <w:p>
      <w:pPr>
        <w:spacing w:after="80"/>
      </w:pPr>
      <w:r>
        <w:rPr>
          <w:sz w:val="20"/>
        </w:rPr>
        <w:t xml:space="preserve">  CONDITIONAL (requires underwriting approval + specialty endorsement):</w:t>
      </w:r>
    </w:p>
    <w:p>
      <w:pPr>
        <w:spacing w:after="80"/>
      </w:pPr>
      <w:r>
        <w:rPr>
          <w:sz w:val="20"/>
        </w:rPr>
        <w:t xml:space="preserve">  - Alcohol distributors (wholesale only)</w:t>
      </w:r>
    </w:p>
    <w:p>
      <w:pPr>
        <w:spacing w:after="80"/>
      </w:pPr>
      <w:r>
        <w:rPr>
          <w:sz w:val="20"/>
        </w:rPr>
        <w:t xml:space="preserve">  - Security guard companies (requires CG 20 09)</w:t>
      </w:r>
    </w:p>
    <w:p>
      <w:pPr>
        <w:spacing w:after="80"/>
      </w:pPr>
      <w:r>
        <w:rPr>
          <w:sz w:val="20"/>
        </w:rPr>
        <w:t xml:space="preserve">  - Medical clinics or health care providers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4. Referral Triggers - Underwriter Review Required</w:t>
      </w:r>
    </w:p>
    <w:p>
      <w:pPr>
        <w:spacing w:after="80"/>
      </w:pPr>
      <w:r>
        <w:rPr>
          <w:sz w:val="20"/>
        </w:rPr>
        <w:t xml:space="preserve">Submit to underwriter BEFORE binding for any of the following:</w:t>
      </w:r>
    </w:p>
    <w:p>
      <w:r>
        <w:t/>
      </w:r>
    </w:p>
    <w:p>
      <w:pPr>
        <w:spacing w:after="80"/>
      </w:pPr>
      <w:r>
        <w:rPr>
          <w:sz w:val="20"/>
        </w:rPr>
        <w:t xml:space="preserve">  SIZE / REVENUE:</w:t>
      </w:r>
    </w:p>
    <w:p>
      <w:pPr>
        <w:spacing w:after="80"/>
      </w:pPr>
      <w:r>
        <w:rPr>
          <w:sz w:val="20"/>
        </w:rPr>
        <w:t xml:space="preserve">  - Annual revenue exceeds $10,000,000</w:t>
      </w:r>
    </w:p>
    <w:p>
      <w:pPr>
        <w:spacing w:after="80"/>
      </w:pPr>
      <w:r>
        <w:rPr>
          <w:sz w:val="20"/>
        </w:rPr>
        <w:t xml:space="preserve">  - More than 100 employees (FTE equivalent)</w:t>
      </w:r>
    </w:p>
    <w:p>
      <w:pPr>
        <w:spacing w:after="80"/>
      </w:pPr>
      <w:r>
        <w:rPr>
          <w:sz w:val="20"/>
        </w:rPr>
        <w:t xml:space="preserve">  - Operations in more than 10 states</w:t>
      </w:r>
    </w:p>
    <w:p>
      <w:pPr>
        <w:spacing w:after="80"/>
      </w:pPr>
      <w:r>
        <w:rPr>
          <w:sz w:val="20"/>
        </w:rPr>
        <w:t xml:space="preserve">  - Any export sales or international operations</w:t>
      </w:r>
    </w:p>
    <w:p>
      <w:r>
        <w:t/>
      </w:r>
    </w:p>
    <w:p>
      <w:pPr>
        <w:spacing w:after="80"/>
      </w:pPr>
      <w:r>
        <w:rPr>
          <w:sz w:val="20"/>
        </w:rPr>
        <w:t xml:space="preserve">  LOSS HISTORY (prior 3 years):</w:t>
      </w:r>
    </w:p>
    <w:p>
      <w:pPr>
        <w:spacing w:after="80"/>
      </w:pPr>
      <w:r>
        <w:rPr>
          <w:sz w:val="20"/>
        </w:rPr>
        <w:t xml:space="preserve">  - Any single claim payment or reserve exceeding $100,000</w:t>
      </w:r>
    </w:p>
    <w:p>
      <w:pPr>
        <w:spacing w:after="80"/>
      </w:pPr>
      <w:r>
        <w:rPr>
          <w:sz w:val="20"/>
        </w:rPr>
        <w:t xml:space="preserve">  - Three or more liability claims regardless of severity</w:t>
      </w:r>
    </w:p>
    <w:p>
      <w:pPr>
        <w:spacing w:after="80"/>
      </w:pPr>
      <w:r>
        <w:rPr>
          <w:sz w:val="20"/>
        </w:rPr>
        <w:t xml:space="preserve">  - Any open claims with reserve over $50,000</w:t>
      </w:r>
    </w:p>
    <w:p>
      <w:pPr>
        <w:spacing w:after="80"/>
      </w:pPr>
      <w:r>
        <w:rPr>
          <w:sz w:val="20"/>
        </w:rPr>
        <w:t xml:space="preserve">  - Any pending litigation naming the insured</w:t>
      </w:r>
    </w:p>
    <w:p>
      <w:r>
        <w:t/>
      </w:r>
    </w:p>
    <w:p>
      <w:pPr>
        <w:spacing w:after="80"/>
      </w:pPr>
      <w:r>
        <w:rPr>
          <w:sz w:val="20"/>
        </w:rPr>
        <w:t xml:space="preserve">  OPERATIONS:</w:t>
      </w:r>
    </w:p>
    <w:p>
      <w:pPr>
        <w:spacing w:after="80"/>
      </w:pPr>
      <w:r>
        <w:rPr>
          <w:sz w:val="20"/>
        </w:rPr>
        <w:t xml:space="preserve">  - Liquor liability exposure over 30% of gross receipts</w:t>
      </w:r>
    </w:p>
    <w:p>
      <w:pPr>
        <w:spacing w:after="80"/>
      </w:pPr>
      <w:r>
        <w:rPr>
          <w:sz w:val="20"/>
        </w:rPr>
        <w:t xml:space="preserve">  - Fireworks display or pyrotechnics (even incidental)</w:t>
      </w:r>
    </w:p>
    <w:p>
      <w:pPr>
        <w:spacing w:after="80"/>
      </w:pPr>
      <w:r>
        <w:rPr>
          <w:sz w:val="20"/>
        </w:rPr>
        <w:t xml:space="preserve">  - Amusement devices, inflatables, or carnival rides</w:t>
      </w:r>
    </w:p>
    <w:p>
      <w:pPr>
        <w:spacing w:after="80"/>
      </w:pPr>
      <w:r>
        <w:rPr>
          <w:sz w:val="20"/>
        </w:rPr>
        <w:t xml:space="preserve">  - Swimming pools open to the public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5. Minimum Premiums and Premium Bearing Endorsements</w:t>
      </w:r>
    </w:p>
    <w:p>
      <w:pPr>
        <w:spacing w:after="80"/>
      </w:pPr>
      <w:r>
        <w:rPr>
          <w:sz w:val="20"/>
        </w:rPr>
        <w:t xml:space="preserve">MINIMUM PREMIUMS (non-negotiable, net of all credits):</w:t>
      </w:r>
    </w:p>
    <w:p>
      <w:pPr>
        <w:spacing w:after="80"/>
      </w:pPr>
      <w:r>
        <w:rPr>
          <w:sz w:val="20"/>
        </w:rPr>
        <w:t xml:space="preserve">  Class of Business                  Annual Minimum</w:t>
      </w:r>
    </w:p>
    <w:p>
      <w:pPr>
        <w:spacing w:after="80"/>
      </w:pPr>
      <w:r>
        <w:rPr>
          <w:sz w:val="20"/>
        </w:rPr>
        <w:t xml:space="preserve">  Retail / Office / Service          $500</w:t>
      </w:r>
    </w:p>
    <w:p>
      <w:pPr>
        <w:spacing w:after="80"/>
      </w:pPr>
      <w:r>
        <w:rPr>
          <w:sz w:val="20"/>
        </w:rPr>
        <w:t xml:space="preserve">  Restaurants - no alcohol           $750</w:t>
      </w:r>
    </w:p>
    <w:p>
      <w:pPr>
        <w:spacing w:after="80"/>
      </w:pPr>
      <w:r>
        <w:rPr>
          <w:sz w:val="20"/>
        </w:rPr>
        <w:t xml:space="preserve">  Restaurants - with alcohol         $1,000</w:t>
      </w:r>
    </w:p>
    <w:p>
      <w:pPr>
        <w:spacing w:after="80"/>
      </w:pPr>
      <w:r>
        <w:rPr>
          <w:sz w:val="20"/>
        </w:rPr>
        <w:t xml:space="preserve">  Contractors (general)              $1,500</w:t>
      </w:r>
    </w:p>
    <w:p>
      <w:pPr>
        <w:spacing w:after="80"/>
      </w:pPr>
      <w:r>
        <w:rPr>
          <w:sz w:val="20"/>
        </w:rPr>
        <w:t xml:space="preserve">  Contractors (specialty trades)     $2,000</w:t>
      </w:r>
    </w:p>
    <w:p>
      <w:pPr>
        <w:spacing w:after="80"/>
      </w:pPr>
      <w:r>
        <w:rPr>
          <w:sz w:val="20"/>
        </w:rPr>
        <w:t xml:space="preserve">  Wholesale / Distribution           $750</w:t>
      </w:r>
    </w:p>
    <w:p>
      <w:pPr>
        <w:spacing w:after="80"/>
      </w:pPr>
      <w:r>
        <w:rPr>
          <w:sz w:val="20"/>
        </w:rPr>
        <w:t xml:space="preserve">  Manufacturing (light hazard)       $2,500</w:t>
      </w:r>
    </w:p>
    <w:p>
      <w:r>
        <w:t/>
      </w:r>
    </w:p>
    <w:p>
      <w:pPr>
        <w:spacing w:after="80"/>
      </w:pPr>
      <w:r>
        <w:rPr>
          <w:sz w:val="20"/>
        </w:rPr>
        <w:t xml:space="preserve">PREMIUM CREDITS ALLOWED:</w:t>
      </w:r>
    </w:p>
    <w:p>
      <w:pPr>
        <w:spacing w:after="80"/>
      </w:pPr>
      <w:r>
        <w:rPr>
          <w:sz w:val="20"/>
        </w:rPr>
        <w:t xml:space="preserve">  - Loss-free discount (3 years no claims): up to -15%</w:t>
      </w:r>
    </w:p>
    <w:p>
      <w:pPr>
        <w:spacing w:after="80"/>
      </w:pPr>
      <w:r>
        <w:rPr>
          <w:sz w:val="20"/>
        </w:rPr>
        <w:t xml:space="preserve">  - Safety program credit (documented): up to -10%</w:t>
      </w:r>
    </w:p>
    <w:p>
      <w:pPr>
        <w:spacing w:after="80"/>
      </w:pPr>
      <w:r>
        <w:rPr>
          <w:sz w:val="20"/>
        </w:rPr>
        <w:t xml:space="preserve">  - Multi-policy discount: -5% when BOP also placed with InsurRateX</w:t>
      </w:r>
    </w:p>
    <w:p>
      <w:r>
        <w:t/>
      </w:r>
    </w:p>
    <w:p>
      <w:pPr>
        <w:spacing w:after="80"/>
      </w:pPr>
      <w:r>
        <w:rPr>
          <w:sz w:val="20"/>
        </w:rPr>
        <w:t xml:space="preserve">MAXIMUM CREDITS: -25% combined (all credits inclusive)</w:t>
      </w:r>
    </w:p>
    <w:p>
      <w:pPr>
        <w:pStyle w:val="Heading1"/>
        <w:spacing w:before="240" w:after="120"/>
      </w:pPr>
      <w:r>
        <w:rPr>
          <w:b/>
          <w:color w:val="1F3864"/>
          <w:sz w:val="24"/>
        </w:rPr>
        <w:t>6. Policy Issuance and Documentation</w:t>
      </w:r>
    </w:p>
    <w:p>
      <w:pPr>
        <w:spacing w:after="80"/>
      </w:pPr>
      <w:r>
        <w:rPr>
          <w:sz w:val="20"/>
        </w:rPr>
        <w:t xml:space="preserve">POLICY TERMS:</w:t>
      </w:r>
    </w:p>
    <w:p>
      <w:pPr>
        <w:spacing w:after="80"/>
      </w:pPr>
      <w:r>
        <w:rPr>
          <w:sz w:val="20"/>
        </w:rPr>
        <w:t xml:space="preserve">  - Standard policy period: 12 months</w:t>
      </w:r>
    </w:p>
    <w:p>
      <w:pPr>
        <w:spacing w:after="80"/>
      </w:pPr>
      <w:r>
        <w:rPr>
          <w:sz w:val="20"/>
        </w:rPr>
        <w:t xml:space="preserve">  - Short-rate cancellations: use ISO short-rate table</w:t>
      </w:r>
    </w:p>
    <w:p>
      <w:pPr>
        <w:spacing w:after="80"/>
      </w:pPr>
      <w:r>
        <w:rPr>
          <w:sz w:val="20"/>
        </w:rPr>
        <w:t xml:space="preserve">  - Pro-rata returns: for company-initiated cancellations only</w:t>
      </w:r>
    </w:p>
    <w:p>
      <w:r>
        <w:t/>
      </w:r>
    </w:p>
    <w:p>
      <w:pPr>
        <w:spacing w:after="80"/>
      </w:pPr>
      <w:r>
        <w:rPr>
          <w:sz w:val="20"/>
        </w:rPr>
        <w:t xml:space="preserve">REQUIRED DOCUMENTS AT ISSUANCE:</w:t>
      </w:r>
    </w:p>
    <w:p>
      <w:pPr>
        <w:spacing w:after="80"/>
      </w:pPr>
      <w:r>
        <w:rPr>
          <w:sz w:val="20"/>
        </w:rPr>
        <w:t xml:space="preserve">  1. Declarations page (must show all limits, deductibles, endorsements)</w:t>
      </w:r>
    </w:p>
    <w:p>
      <w:pPr>
        <w:spacing w:after="80"/>
      </w:pPr>
      <w:r>
        <w:rPr>
          <w:sz w:val="20"/>
        </w:rPr>
        <w:t xml:space="preserve">  2. Complete ISO CG 00 01 policy form (current edition)</w:t>
      </w:r>
    </w:p>
    <w:p>
      <w:pPr>
        <w:spacing w:after="80"/>
      </w:pPr>
      <w:r>
        <w:rPr>
          <w:sz w:val="20"/>
        </w:rPr>
        <w:t xml:space="preserve">  3. All applicable endorsements (CG 20 10, CG 20 37 if required)</w:t>
      </w:r>
    </w:p>
    <w:p>
      <w:pPr>
        <w:spacing w:after="80"/>
      </w:pPr>
      <w:r>
        <w:rPr>
          <w:sz w:val="20"/>
        </w:rPr>
        <w:t xml:space="preserve">  4. Premium payment confirmation or payment plan agreement</w:t>
      </w:r>
    </w:p>
    <w:p>
      <w:pPr>
        <w:spacing w:after="80"/>
      </w:pPr>
      <w:r>
        <w:rPr>
          <w:sz w:val="20"/>
        </w:rPr>
        <w:t xml:space="preserve">  5. Certificate of Insurance if additional insured required at inception</w:t>
      </w:r>
    </w:p>
    <w:p>
      <w:r>
        <w:t/>
      </w:r>
    </w:p>
    <w:p>
      <w:pPr>
        <w:spacing w:after="80"/>
      </w:pPr>
      <w:r>
        <w:rPr>
          <w:sz w:val="20"/>
        </w:rPr>
        <w:t xml:space="preserve">DOCUMENTATION RETENTION:</w:t>
      </w:r>
    </w:p>
    <w:p>
      <w:pPr>
        <w:spacing w:after="80"/>
      </w:pPr>
      <w:r>
        <w:rPr>
          <w:sz w:val="20"/>
        </w:rPr>
        <w:t xml:space="preserve">  All underwriting files must be retained for minimum 7 years.</w:t>
      </w:r>
    </w:p>
    <w:p>
      <w:pPr>
        <w:spacing w:after="80"/>
      </w:pPr>
      <w:r>
        <w:rPr>
          <w:sz w:val="20"/>
        </w:rPr>
        <w:t xml:space="preserve">  Electronic storage acceptable; must be retrievable within 24 hours.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