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28"/>
          <w:szCs w:val="28"/>
          <w:u w:val="single"/>
        </w:rPr>
      </w:pPr>
      <w:r w:rsidDel="00000000" w:rsidR="00000000" w:rsidRPr="00000000">
        <w:rPr>
          <w:b w:val="1"/>
          <w:bCs w:val="1"/>
          <w:sz w:val="28"/>
          <w:szCs w:val="28"/>
          <w:u w:val="single"/>
          <w:rtl w:val="0"/>
        </w:rPr>
        <w:t xml:space="preserve">Tables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Deepfake </w:t>
      </w:r>
    </w:p>
    <w:p w:rsidR="00000000" w:rsidDel="00000000" w:rsidP="00000000" w:rsidRDefault="00000000" w:rsidRPr="00000000" w14:paraId="00000005">
      <w:pPr>
        <w:rPr/>
      </w:pPr>
      <w:r w:rsidDel="00000000" w:rsidR="00000000" w:rsidRPr="00000000">
        <w:rPr>
          <w:rtl w:val="0"/>
        </w:rPr>
      </w:r>
    </w:p>
    <w:tbl>
      <w:tblPr>
        <w:tblStyle w:val="Table1"/>
        <w:tblW w:w="6095.0" w:type="dxa"/>
        <w:jc w:val="left"/>
        <w:tblLayout w:type="fixed"/>
        <w:tblLook w:val="0600"/>
      </w:tblPr>
      <w:tblGrid>
        <w:gridCol w:w="1145"/>
        <w:gridCol w:w="1925"/>
        <w:gridCol w:w="1430"/>
        <w:gridCol w:w="1595"/>
        <w:tblGridChange w:id="0">
          <w:tblGrid>
            <w:gridCol w:w="1145"/>
            <w:gridCol w:w="1925"/>
            <w:gridCol w:w="1430"/>
            <w:gridCol w:w="15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Multimodal Framework for Deep Fake Detection</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and Content Moderation Using CNN, ViT, and</w:t>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Audio-Visual Analysis</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color w:val="1a1718"/>
              </w:rPr>
            </w:pPr>
            <w:r w:rsidDel="00000000" w:rsidR="00000000" w:rsidRPr="00000000">
              <w:rPr>
                <w:b w:val="1"/>
                <w:bCs w:val="1"/>
                <w:color w:val="1a1718"/>
                <w:rtl w:val="0"/>
              </w:rPr>
              <w:t xml:space="preserve">Domain-Adaptive Representation Learning for</w:t>
            </w:r>
          </w:p>
          <w:p w:rsidR="00000000" w:rsidDel="00000000" w:rsidP="00000000" w:rsidRDefault="00000000" w:rsidRPr="00000000" w14:paraId="0000000C">
            <w:pPr>
              <w:jc w:val="center"/>
              <w:rPr>
                <w:b w:val="1"/>
                <w:bCs w:val="1"/>
                <w:color w:val="1a1718"/>
              </w:rPr>
            </w:pPr>
            <w:r w:rsidDel="00000000" w:rsidR="00000000" w:rsidRPr="00000000">
              <w:rPr>
                <w:b w:val="1"/>
                <w:bCs w:val="1"/>
                <w:color w:val="1a1718"/>
                <w:rtl w:val="0"/>
              </w:rPr>
              <w:t xml:space="preserve">Multimodal Deepfake Detection</w:t>
            </w:r>
          </w:p>
          <w:p w:rsidR="00000000" w:rsidDel="00000000" w:rsidP="00000000" w:rsidRDefault="00000000" w:rsidRPr="00000000" w14:paraId="0000000D">
            <w:pPr>
              <w:jc w:val="center"/>
              <w:rPr/>
            </w:pPr>
            <w:r w:rsidDel="00000000" w:rsidR="00000000" w:rsidRPr="00000000">
              <w:rPr>
                <w:b w:val="1"/>
                <w:bCs w:val="1"/>
                <w:rtl w:val="0"/>
              </w:rPr>
              <w:t xml:space="preserve"> 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Our Model 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Accuracy</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95.4%</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92.29%</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90.84%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94.1%</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93.13%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94.9%</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91.91%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F1 Score</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94.5%</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93.06%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AUC</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95.41%</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95.30%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4755" w:firstLine="0"/>
              <w:rPr/>
            </w:pPr>
            <w:r w:rsidDel="00000000" w:rsidR="00000000" w:rsidRPr="00000000">
              <w:rPr>
                <w:rtl w:val="0"/>
              </w:rPr>
            </w:r>
          </w:p>
          <w:p w:rsidR="00000000" w:rsidDel="00000000" w:rsidP="00000000" w:rsidRDefault="00000000" w:rsidRPr="00000000" w14:paraId="00000025">
            <w:pPr>
              <w:ind w:left="-4755" w:firstLine="0"/>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AI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5530.0" w:type="dxa"/>
        <w:jc w:val="left"/>
        <w:tblLayout w:type="fixed"/>
        <w:tblLook w:val="0600"/>
      </w:tblPr>
      <w:tblGrid>
        <w:gridCol w:w="1145"/>
        <w:gridCol w:w="4385"/>
        <w:tblGridChange w:id="0">
          <w:tblGrid>
            <w:gridCol w:w="1145"/>
            <w:gridCol w:w="43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Our Model A — AI Generated Detection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Accuracy</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97.73%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90.02%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98.21%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F1 Score</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93.94%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AUC</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99.73%</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Comparison of work </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rjkptv4v7r6b" w:id="0"/>
      <w:bookmarkEnd w:id="0"/>
      <w:r w:rsidDel="00000000" w:rsidR="00000000" w:rsidRPr="00000000">
        <w:rPr>
          <w:b w:val="1"/>
          <w:bCs w:val="1"/>
          <w:sz w:val="34"/>
          <w:szCs w:val="34"/>
          <w:rtl w:val="0"/>
        </w:rPr>
        <w:t xml:space="preserve">Comparative Analysis of Methodology and Datasets</w:t>
      </w:r>
    </w:p>
    <w:p w:rsidR="00000000" w:rsidDel="00000000" w:rsidP="00000000" w:rsidRDefault="00000000" w:rsidRPr="00000000" w14:paraId="00000043">
      <w:pPr>
        <w:spacing w:after="240" w:before="240" w:lineRule="auto"/>
        <w:rPr/>
      </w:pPr>
      <w:r w:rsidDel="00000000" w:rsidR="00000000" w:rsidRPr="00000000">
        <w:rPr>
          <w:rtl w:val="0"/>
        </w:rPr>
        <w:t xml:space="preserve">Panja et al. constructed their detection pipeline using FaceForensics++ and the DeepFake Detection Challenge dataset as their primary training and evaluation corpora. FaceForensics++ provides high quality face manipulation videos generated through face swapping and reenactment techniques whilst the DFDC dataset contributes a large scale collection of videos produced under diverse real world conditions. Their methodology employed VGG16 and ResNet-50 as spatial feature extractors operating on frames sampled at ten frames per second and augmented this with a Vision Transformer to capture global dependencies across frame patches. Audio was extracted using FFmpeg and processed through MFCC and spectrogram representations fed into a recurrent neural network. The final classification was performed through late fusion of the audio and visual confidence scores producing a binary real or fake decision. This architecture achieved an accuracy of 95.4% with a precision of 94.1% and an F1 score of 94.5% on the combined FaceForensics++ and DFDC evaluation set. Importantly their system makes no distinction between different categories of synthetic media and cannot identify content that has been fully generated by AI systems rather than manipulated from real footage.</w:t>
      </w:r>
    </w:p>
    <w:p w:rsidR="00000000" w:rsidDel="00000000" w:rsidP="00000000" w:rsidRDefault="00000000" w:rsidRPr="00000000" w14:paraId="00000044">
      <w:pPr>
        <w:spacing w:after="240" w:before="240" w:lineRule="auto"/>
        <w:rPr/>
      </w:pPr>
      <w:r w:rsidDel="00000000" w:rsidR="00000000" w:rsidRPr="00000000">
        <w:rPr>
          <w:rtl w:val="0"/>
        </w:rPr>
        <w:t xml:space="preserve">Haq and Malik approached the problem differently by treating deepfake detection as an audio visual synchronisation problem rather than a visual artifact detection problem. They evaluated their system across a significantly broader range of datasets including DeepfakeTIMIT in both low quality and high quality variants, FakeAVCeleb which contains real videos sourced from VoxCeleb2 combined with synthetically generated counterparts produced through FaceSwap, FSGAN, SV2TTS and Wav2Lip, the Presidential Deepfake Dataset, WorldLeaders and the multilingual CMDFD dataset. They additionally introduced their own real world dataset DfAds comprising social media scam deepfakes. Visual features were extracted using AV-HuBERT operating on 96 by 96 grayscale mouth region crops whilst audio features were extracted using wav2vec2.0 pretrained across 53 languages. Both feature streams were aligned to a common dimensionality and passed through a two layer Deep Canonical Correlation Analysis network that maximised the correlation between audio and visual representations. A multilayer perceptron then performed the final binary classification achieving an accuracy of 92.29% and an AUC of 95.41% on FakeAVCeleb and an AUC of 99.95% on DeepfakeTIMIT high quality. Like Panja et al. however their system is fundamentally limited to detecting face manipulation and audio visual desynchronisation and does not address fully AI generated synthetic content as a separate category.</w:t>
      </w:r>
    </w:p>
    <w:p w:rsidR="00000000" w:rsidDel="00000000" w:rsidP="00000000" w:rsidRDefault="00000000" w:rsidRPr="00000000" w14:paraId="00000045">
      <w:pPr>
        <w:spacing w:after="240" w:before="240" w:lineRule="auto"/>
        <w:rPr/>
      </w:pPr>
      <w:r w:rsidDel="00000000" w:rsidR="00000000" w:rsidRPr="00000000">
        <w:rPr>
          <w:rtl w:val="0"/>
        </w:rPr>
        <w:t xml:space="preserve">Our system was trained and evaluated on a substantially broader and more diverse dataset collection than either of the above works. For deepfake detection we used FaceForensics++, DFDC parts zero through two, Celeb-DF version two and WildDeepfake providing comprehensive coverage of face manipulation techniques. For real content we incorporated VoxCeleb1, Pexels video collections, YouTube interview recordings and YouTube channel content to ensure a realistic and balanced representation of genuine media. Critically we extended the problem scope beyond what either prior work attempted by introducing a novel AI generated video category drawn from six modern text to video generators namely AnimateDiff, CogVideoX, RunwayML, Stable Diffusion, VideoCraft and VideoPoet alongside established image datasets including CIFAKE, ArtiFact and AIGVDet. No published benchmark covering this combination of modern generative systems existed prior to this work making our dataset collection itself a contribution to the field.</w:t>
      </w:r>
    </w:p>
    <w:p w:rsidR="00000000" w:rsidDel="00000000" w:rsidP="00000000" w:rsidRDefault="00000000" w:rsidRPr="00000000" w14:paraId="00000046">
      <w:pPr>
        <w:spacing w:after="240" w:before="240" w:lineRule="auto"/>
        <w:rPr/>
      </w:pPr>
      <w:r w:rsidDel="00000000" w:rsidR="00000000" w:rsidRPr="00000000">
        <w:rPr>
          <w:rtl w:val="0"/>
        </w:rPr>
        <w:t xml:space="preserve">Our methodology departed fundamentally from both comparison works through a two stage cascade architecture specifically designed to address the full spectrum of synthetic media threats present in 2025. In Stage 1 a frequency domain analysis pipeline using Discrete Cosine Transform and Spatial Rich Model filters determined whether the input was AI generated. This stage was motivated by the observation that content produced by diffusion and transformer based video generation models leaves spectral fingerprints in the frequency domain that are entirely invisible to pixel domain models such as VGG16 and ResNet-50. Neither Panja et al. nor Haq and Malik incorporated any form of frequency domain analysis in their pipelines which is precisely why neither system can detect AI generated content. If Stage 1 confirmed AI generation the system returned the label SYNTHETIC AI Generated and terminated immediately without proceeding further. If not confirmed the input was passed to Stage 2 where three parallel streams operated simultaneously. EfficientNet-B4 processed visual frame features offering significantly greater parameter efficiency than VGG16 whilst a dedicated Forensic CNN operating on SRM filtered noise residuals detected manipulation traces invisible to standard pixel domain models. MediaPipe additionally extracted 468 facial landmarks per frame to measure geometric inconsistencies between frames that deepfake generators introduce but that pixel level convolutional networks cannot perceive. The outputs of all three streams were combined using an XGBoost classifier tuned through Optuna optimisation providing an explainable and auditable fusion mechanism unlike the black box late fusion employed by Panja et al.</w:t>
      </w:r>
    </w:p>
    <w:p w:rsidR="00000000" w:rsidDel="00000000" w:rsidP="00000000" w:rsidRDefault="00000000" w:rsidRPr="00000000" w14:paraId="00000047">
      <w:pPr>
        <w:spacing w:after="240" w:before="240" w:lineRule="auto"/>
        <w:rPr/>
      </w:pPr>
      <w:r w:rsidDel="00000000" w:rsidR="00000000" w:rsidRPr="00000000">
        <w:rPr>
          <w:rtl w:val="0"/>
        </w:rPr>
        <w:t xml:space="preserve">This cascade produced a three class output distinguishing Real content from Synthetic Deepfake content and Synthetic AI Generated content. On the deepfake detection submodel our system achieved an F1 score of 93.06% and an AUC of 95.30% which is directly comparable to Panja et al.'s F1 of 94.5% and DARL's AUC of 95.41% despite our model simultaneously managing three classes rather than two. On the AI generated detection submodel our system achieved an F1 score of 93.94% and an AUC of 99.73% with a test accuracy of 97.73% and a recall of 98.21% demonstrating that the frequency domain stage reliably identifies diffusion model generated content with near perfect sensitivity. The full three class cascade achieved a macro F1 of 90.79% and an overall accuracy of 90.83%. The fundamental distinction between our approach and those of Panja et al. and Haq and Malik is that both prior works frame detection as a binary real versus fake problem trained exclusively on face manipulation datasets. Our work extends this to a three class problem that addresses fully AI generated synthetic content produced by modern generative systems, a threat category that neither prior work attempts to detect and for which no standardised evaluation benchmark existed at the time of this study.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Virality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3"/>
        <w:tblW w:w="7950.0" w:type="dxa"/>
        <w:jc w:val="left"/>
        <w:tblLayout w:type="fixed"/>
        <w:tblLook w:val="0600"/>
      </w:tblPr>
      <w:tblGrid>
        <w:gridCol w:w="1310"/>
        <w:gridCol w:w="3080"/>
        <w:gridCol w:w="3560"/>
        <w:tblGridChange w:id="0">
          <w:tblGrid>
            <w:gridCol w:w="1310"/>
            <w:gridCol w:w="3080"/>
            <w:gridCol w:w="35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Our Model B — Viral 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Our Model B — Non Viral Class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Accuracy</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80%</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81.2%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72.2%</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83%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87%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F1 Score</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69%</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85%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ROC-AUC</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85.44%</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85.44%</w:t>
            </w:r>
          </w:p>
          <w:p w:rsidR="00000000" w:rsidDel="00000000" w:rsidP="00000000" w:rsidRDefault="00000000" w:rsidRPr="00000000" w14:paraId="0000005F">
            <w:pPr>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Comparison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Here is the rewritten version with full paper names: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yv7sva5afyhh" w:id="1"/>
      <w:bookmarkEnd w:id="1"/>
      <w:r w:rsidDel="00000000" w:rsidR="00000000" w:rsidRPr="00000000">
        <w:rPr>
          <w:b w:val="1"/>
          <w:bCs w:val="1"/>
          <w:sz w:val="34"/>
          <w:szCs w:val="34"/>
          <w:rtl w:val="0"/>
        </w:rPr>
        <w:t xml:space="preserve">Virality Prediction — Comparative Discussion</w:t>
      </w:r>
    </w:p>
    <w:p w:rsidR="00000000" w:rsidDel="00000000" w:rsidP="00000000" w:rsidRDefault="00000000" w:rsidRPr="00000000" w14:paraId="00000066">
      <w:pPr>
        <w:spacing w:after="240" w:before="240" w:lineRule="auto"/>
        <w:rPr/>
      </w:pPr>
      <w:r w:rsidDel="00000000" w:rsidR="00000000" w:rsidRPr="00000000">
        <w:rPr>
          <w:rtl w:val="0"/>
        </w:rPr>
        <w:t xml:space="preserve">The authors of "Online Prediction of Video Popularity in OVSs: A Video Age-Sensitive Model With Beyond Views Features" proposed the Infectiveness Estimation and Views Prediction model which predicted video popularity on the iQIYI Online Video Service platform using average watched percentage as a proxy feature rather than relying on raw view counts. Their dataset comprised over three thousand videos collected from the iQIYI Video Content Delivery Network in Jiangsu Province across a three day period in December 2018 and was entirely proprietary and unavailable for public use. The model was evaluated using Recall at Top 5% and mean Root Squared Error as primary metrics and demonstrated that content describing features updated in real time outperform static engagement based models in production streaming environments. However their approach required videos to already have existing viewers before any prediction could be made and incorporated no visual content analysis whatsoever relying entirely on service side metadata and engagement signals.</w:t>
      </w:r>
    </w:p>
    <w:p w:rsidR="00000000" w:rsidDel="00000000" w:rsidP="00000000" w:rsidRDefault="00000000" w:rsidRPr="00000000" w14:paraId="00000067">
      <w:pPr>
        <w:spacing w:after="240" w:before="240" w:lineRule="auto"/>
        <w:rPr/>
      </w:pPr>
      <w:r w:rsidDel="00000000" w:rsidR="00000000" w:rsidRPr="00000000">
        <w:rPr>
          <w:rtl w:val="0"/>
        </w:rPr>
        <w:t xml:space="preserve">The authors of "Multimodal Deep Learning Framework for Image Popularity Prediction on Social Media" proposed the Visual Social Convolutional Neural Network model for predicting the popularity of images posted on Flickr. Their dataset was the SMP-T1 collection presented at the ACM Multimedia Grand Challenge 2017 comprising approximately 432 thousand images collected from the personal albums of 135 different users. Visual features were extracted using VGG19 producing a 4096 dimensional deep feature vector which was dimensionality reduced through principal component analysis to 20 dimensions. Social features including user identity, average view count, group membership count and post metadata were reduced similarly to 14 dimensions. Two independent one dimensional convolutional neural networks processed each feature stream separately before a late fusion network combined them to produce a final popularity score. Their model achieved a Spearman's Rho of 0.9014 with a mean absolute error of 0.73 on the SMP-T1 test set outperforming all challenge participants. Critically however their own analysis revealed that user identity and average view count alone achieved a Spearman's Rho of 0.74 indicating that their model's strong performance was substantially driven by the popularity of the uploading user rather than the content itself. This represents a fundamental fairness limitation as their model systematically favours content from already established and popular creators.</w:t>
      </w:r>
    </w:p>
    <w:p w:rsidR="00000000" w:rsidDel="00000000" w:rsidP="00000000" w:rsidRDefault="00000000" w:rsidRPr="00000000" w14:paraId="00000068">
      <w:pPr>
        <w:spacing w:after="240" w:before="240" w:lineRule="auto"/>
        <w:rPr/>
      </w:pPr>
      <w:r w:rsidDel="00000000" w:rsidR="00000000" w:rsidRPr="00000000">
        <w:rPr>
          <w:rtl w:val="0"/>
        </w:rPr>
        <w:t xml:space="preserve">Our work addressed virality prediction as a binary classification problem rather than a regression task distinguishing viral content from non viral content directly. Data was collected through the YouTube Data API v3 spanning five thousand videos across ten content categories. Videos were labelled by engagement percentile where the top twenty percent by engagement ratio were labelled viral and the bottom forty percent were labelled not viral. The middle forty percent were deliberately excluded to create a clean separation between classes and reduce label ambiguity. Only the first sixty seconds of each video were analysed to simulate the conditions under which a creator or platform would assess content before full audience exposure.</w:t>
      </w:r>
    </w:p>
    <w:p w:rsidR="00000000" w:rsidDel="00000000" w:rsidP="00000000" w:rsidRDefault="00000000" w:rsidRPr="00000000" w14:paraId="00000069">
      <w:pPr>
        <w:spacing w:after="240" w:before="240" w:lineRule="auto"/>
        <w:rPr/>
      </w:pPr>
      <w:r w:rsidDel="00000000" w:rsidR="00000000" w:rsidRPr="00000000">
        <w:rPr>
          <w:rtl w:val="0"/>
        </w:rPr>
        <w:t xml:space="preserve">Twenty two content describing features were extracted across three modalities. Seven visual features were extracted from sampled frames including BRISQUE perceptual quality score, colour vibrancy, motion intensity, face presence, facial emotion scores for joy and surprise and thumbnail brightness. Five audio features were extracted including tempo, RMS energy, speech ratio, zero crossing rate and beat strength. Eight metadata features were extracted including title sentiment, title length, presence of a question mark, presence of a number in the title, description length, tag count, upload hour and upload day. Critically, our feature set deliberately excluded raw engagement metrics such as view counts, subscriber counts, like counts and comment counts to prevent data leakage and to ensure the model could be applied to content before it had accumulated any audience. This directly addresses the fairness limitation identified in "Multimodal Deep Learning Framework for Image Popularity Prediction on Social Media" where user popularity dominated prediction outcomes.</w:t>
      </w:r>
    </w:p>
    <w:p w:rsidR="00000000" w:rsidDel="00000000" w:rsidP="00000000" w:rsidRDefault="00000000" w:rsidRPr="00000000" w14:paraId="0000006A">
      <w:pPr>
        <w:spacing w:after="240" w:before="240" w:lineRule="auto"/>
        <w:rPr/>
      </w:pPr>
      <w:r w:rsidDel="00000000" w:rsidR="00000000" w:rsidRPr="00000000">
        <w:rPr>
          <w:rtl w:val="0"/>
        </w:rPr>
        <w:t xml:space="preserve">A LightGBM classifier was trained and tuned through Optuna across fifty trials using five fold cross validation producing optimal hyperparameters including 1017 estimators, a maximum depth of 10 and a learning rate of 0.0365. The model achieved a ROC-AUC of 85.44% and an overall accuracy of 79.95% on the held out test set. On the viral class specifically the model achieved a precision of 72.2%, a recall of 65% and an F1 score of 69%. The relatively modest viral class F1 reflects the genuine difficulty of predicting virality from content features alone without access to audience or engagement signals and is consistent with findings across the broader virality prediction literature that content features provide necessary but not sufficient signal for reliable viral identification.</w:t>
      </w:r>
    </w:p>
    <w:p w:rsidR="00000000" w:rsidDel="00000000" w:rsidP="00000000" w:rsidRDefault="00000000" w:rsidRPr="00000000" w14:paraId="0000006B">
      <w:pPr>
        <w:spacing w:after="240" w:before="240" w:lineRule="auto"/>
        <w:rPr/>
      </w:pPr>
      <w:r w:rsidDel="00000000" w:rsidR="00000000" w:rsidRPr="00000000">
        <w:rPr>
          <w:rtl w:val="0"/>
        </w:rPr>
        <w:t xml:space="preserve">The fundamental distinction between our approach and those presented in "Online Prediction of Video Popularity in OVSs: A Video Age-Sensitive Model With Beyond Views Features" and "Multimodal Deep Learning Framework for Image Popularity Prediction on Social Media" is one of fairness and applicability. Both prior works either require existing engagement data or incorporate user popularity signals that bias predictions towards established creators. Our model is designed to evaluate any video purely on its content characteristics at the point of upload making it applicable to new creators and previously unseen content in a way that neither prior work achieves.</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