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D1 Demonstration: Bandwidth Measurement Comparison</w:t>
      </w:r>
    </w:p>
    <w:p>
      <w:pPr>
        <w:spacing w:after="160"/>
      </w:pPr>
      <w:r>
        <w:t>This table summarizes the sender CSV files provided for tests 1, 2, 3 and 5. The sender logs report transmitted payload traffic. Receiver-side and switch-side measurements must be compared from matching successful runs before end-to-end throughput or packet loss can be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Duration (s)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Target (Mbps)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TX packets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TX payload (MB)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Mean interval (Mbps)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Dropped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Errors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9.999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6250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6.250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5.0003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9.999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6250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6.250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5.0001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10.121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6250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6.250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4.7664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10.002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6250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6.250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5.2093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0</w:t>
            </w:r>
          </w:p>
        </w:tc>
      </w:tr>
    </w:tbl>
    <w:p>
      <w:pPr>
        <w:pStyle w:val="Heading2"/>
      </w:pPr>
      <w:r>
        <w:t>Interpretation</w:t>
      </w:r>
    </w:p>
    <w:p>
      <w:pPr>
        <w:pStyle w:val="ListBullet"/>
      </w:pPr>
      <w:r>
        <w:t>All four sender logs show 6,250 packets and 6.25 MB of transmitted payload.</w:t>
      </w:r>
    </w:p>
    <w:p>
      <w:pPr>
        <w:pStyle w:val="ListBullet"/>
      </w:pPr>
      <w:r>
        <w:t>The target sending rate was 5 Mbps. Mean interval rates vary slightly between runs.</w:t>
      </w:r>
    </w:p>
    <w:p>
      <w:pPr>
        <w:pStyle w:val="ListBullet"/>
      </w:pPr>
      <w:r>
        <w:t>The sender logs report zero sender-side dropped packets and zero send errors in these runs.</w:t>
      </w:r>
    </w:p>
    <w:p>
      <w:pPr>
        <w:pStyle w:val="ListBullet"/>
      </w:pPr>
      <w:r>
        <w:t>These sender logs alone do not prove that the receiver got all packets.</w:t>
      </w:r>
    </w:p>
    <w:p>
      <w:pPr>
        <w:pStyle w:val="Heading2"/>
      </w:pPr>
      <w:r>
        <w:t>Network-side comparison status</w:t>
      </w:r>
    </w:p>
    <w:p>
      <w:r>
        <w:t>The first 20 rows of flowstats(1).csv were inspected only. Those rows contain early switch counter samples and do not provide a reliable complete-run total for comparison with the sender runs. A receiver CSV and a matching full-run flow-statistics summary are needed to complete the application-versus-network comparison.</w:t>
      </w:r>
    </w:p>
    <w:p>
      <w:r>
        <w:rPr>
          <w:i/>
        </w:rPr>
        <w:t>Data scope: summarized from the provided sender_1.csv, sender_2.csv, sender_3.csv, sender_5.csv, and the first 20 rows of flowstats(1).csv. The CSV files have not been reproduced in full.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