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Pr="009A4223" w:rsidRDefault="00EE682F">
      <w:pPr>
        <w:spacing w:line="261" w:lineRule="auto"/>
        <w:ind w:left="6" w:right="141"/>
        <w:jc w:val="center"/>
        <w:rPr>
          <w:b/>
          <w:bCs/>
          <w:sz w:val="40"/>
        </w:rPr>
      </w:pPr>
      <w:r>
        <w:rPr>
          <w:spacing w:val="-9"/>
          <w:sz w:val="40"/>
        </w:rPr>
        <w:t xml:space="preserve"> </w:t>
      </w:r>
      <w:r w:rsidR="008D1E7B" w:rsidRPr="009A4223">
        <w:rPr>
          <w:b/>
          <w:bCs/>
          <w:sz w:val="40"/>
        </w:rPr>
        <w:t>Set a private network in cloud – Create a VPC with subnets for your instances.</w:t>
      </w:r>
      <w:r w:rsidR="00E525ED" w:rsidRPr="009A4223">
        <w:rPr>
          <w:b/>
          <w:bCs/>
          <w:sz w:val="40"/>
        </w:rPr>
        <w:t xml:space="preserve"> </w:t>
      </w:r>
      <w:r w:rsidR="008D1E7B" w:rsidRPr="009A4223">
        <w:rPr>
          <w:b/>
          <w:b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5AD348FD" w14:textId="062515EE" w:rsidR="008D1E7B" w:rsidRDefault="00EE682F">
      <w:pPr>
        <w:tabs>
          <w:tab w:val="left" w:pos="6284"/>
        </w:tabs>
        <w:ind w:left="23"/>
        <w:rPr>
          <w:sz w:val="40"/>
        </w:rPr>
      </w:pPr>
      <w:proofErr w:type="gramStart"/>
      <w:r>
        <w:rPr>
          <w:sz w:val="40"/>
        </w:rPr>
        <w:t>Name</w:t>
      </w:r>
      <w:r w:rsidR="001369B2">
        <w:rPr>
          <w:sz w:val="40"/>
        </w:rPr>
        <w:t xml:space="preserve"> :</w:t>
      </w:r>
      <w:proofErr w:type="spellStart"/>
      <w:r w:rsidR="000D058F">
        <w:rPr>
          <w:sz w:val="40"/>
        </w:rPr>
        <w:t>Paripurani</w:t>
      </w:r>
      <w:proofErr w:type="spellEnd"/>
      <w:proofErr w:type="gramEnd"/>
      <w:r w:rsidR="000D058F">
        <w:rPr>
          <w:sz w:val="40"/>
        </w:rPr>
        <w:t xml:space="preserve"> S P</w:t>
      </w:r>
    </w:p>
    <w:p w14:paraId="42082675" w14:textId="76A3F9AF" w:rsidR="004F6C5E" w:rsidRDefault="00EE682F">
      <w:pPr>
        <w:tabs>
          <w:tab w:val="left" w:pos="6284"/>
        </w:tabs>
        <w:ind w:left="23"/>
        <w:rPr>
          <w:sz w:val="40"/>
        </w:rPr>
      </w:pPr>
      <w:r>
        <w:rPr>
          <w:sz w:val="40"/>
        </w:rPr>
        <w:t>Department:</w:t>
      </w:r>
      <w:r>
        <w:rPr>
          <w:spacing w:val="-25"/>
          <w:sz w:val="40"/>
        </w:rPr>
        <w:t xml:space="preserve"> </w:t>
      </w:r>
      <w:r>
        <w:rPr>
          <w:spacing w:val="-5"/>
          <w:sz w:val="40"/>
        </w:rPr>
        <w:t>IT</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Dashboard</w:t>
      </w:r>
    </w:p>
    <w:p w14:paraId="075FFAED" w14:textId="77777777" w:rsidR="00FC0CBC" w:rsidRDefault="00FC0CBC" w:rsidP="00FC0CBC">
      <w:pPr>
        <w:pStyle w:val="BodyText"/>
        <w:numPr>
          <w:ilvl w:val="0"/>
          <w:numId w:val="8"/>
        </w:numPr>
        <w:spacing w:before="30"/>
        <w:rPr>
          <w:lang w:val="en-IN"/>
        </w:rPr>
      </w:pPr>
      <w:r w:rsidRPr="00FC0CBC">
        <w:rPr>
          <w:lang w:val="en-IN"/>
        </w:rPr>
        <w:t>In the Services menu, select "VPC" to access the VPC Dashboard.</w:t>
      </w:r>
    </w:p>
    <w:p w14:paraId="39E5AFE5" w14:textId="77777777" w:rsidR="00FC0CBC" w:rsidRPr="00FC0CBC" w:rsidRDefault="00FC0CBC" w:rsidP="000D058F">
      <w:pPr>
        <w:pStyle w:val="BodyText"/>
        <w:spacing w:before="30"/>
        <w:ind w:left="720"/>
        <w:rPr>
          <w:lang w:val="en-IN"/>
        </w:rPr>
      </w:pP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Pr="00FC0CBC" w:rsidRDefault="00FC0CBC" w:rsidP="00FC0CBC">
      <w:pPr>
        <w:pStyle w:val="BodyText"/>
        <w:numPr>
          <w:ilvl w:val="0"/>
          <w:numId w:val="9"/>
        </w:numPr>
        <w:spacing w:before="30"/>
        <w:rPr>
          <w:lang w:val="en-IN"/>
        </w:rPr>
      </w:pPr>
      <w:r w:rsidRPr="00FC0CBC">
        <w:rPr>
          <w:lang w:val="en-IN"/>
        </w:rPr>
        <w:t>Specify the following:</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E.g., 10.0.0.0/16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3EA09BC8">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w:t>
      </w:r>
      <w:proofErr w:type="spellStart"/>
      <w:r w:rsidRPr="00FC0CBC">
        <w:rPr>
          <w:b/>
          <w:bCs/>
          <w:sz w:val="32"/>
          <w:szCs w:val="32"/>
          <w:lang w:val="en-IN"/>
        </w:rPr>
        <w:t>MyPrivateVPC</w:t>
      </w:r>
      <w:proofErr w:type="spellEnd"/>
      <w:r w:rsidRPr="00FC0CBC">
        <w:rPr>
          <w:b/>
          <w:bCs/>
          <w:sz w:val="32"/>
          <w:szCs w:val="32"/>
          <w:lang w:val="en-IN"/>
        </w:rPr>
        <w:t>)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4376C642">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2D4ECF63">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 xml:space="preserve">2. Name it (e.g., </w:t>
      </w:r>
      <w:proofErr w:type="spellStart"/>
      <w:r w:rsidRPr="00FC0CBC">
        <w:rPr>
          <w:sz w:val="32"/>
          <w:szCs w:val="32"/>
        </w:rPr>
        <w:t>PrivateRouteTable</w:t>
      </w:r>
      <w:proofErr w:type="spellEnd"/>
      <w:r w:rsidRPr="00FC0CBC">
        <w:rPr>
          <w:sz w:val="32"/>
          <w:szCs w:val="32"/>
        </w:rPr>
        <w:t>).</w:t>
      </w:r>
    </w:p>
    <w:p w14:paraId="4F5A60A3" w14:textId="61CA569D" w:rsidR="00FC0CBC" w:rsidRPr="00FC0CBC" w:rsidRDefault="00FC0CBC" w:rsidP="00FC0CBC">
      <w:pPr>
        <w:pStyle w:val="Heading2"/>
        <w:spacing w:before="278"/>
        <w:rPr>
          <w:sz w:val="32"/>
          <w:szCs w:val="32"/>
        </w:rPr>
      </w:pPr>
      <w:r w:rsidRPr="00FC0CBC">
        <w:rPr>
          <w:sz w:val="32"/>
          <w:szCs w:val="32"/>
        </w:rPr>
        <w:t xml:space="preserve">3. Select </w:t>
      </w:r>
      <w:proofErr w:type="spellStart"/>
      <w:r w:rsidRPr="00FC0CBC">
        <w:rPr>
          <w:sz w:val="32"/>
          <w:szCs w:val="32"/>
        </w:rPr>
        <w:t>MyPrivateVPC</w:t>
      </w:r>
      <w:proofErr w:type="spellEnd"/>
      <w:r w:rsidRPr="00FC0CBC">
        <w:rPr>
          <w:sz w:val="32"/>
          <w:szCs w:val="32"/>
        </w:rPr>
        <w:t>.</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07C98DD4">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5835173E">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1C85E87F">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66105B28">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w:t>
      </w:r>
      <w:proofErr w:type="gramStart"/>
      <w:r>
        <w:t>2.micro</w:t>
      </w:r>
      <w:proofErr w:type="gramEnd"/>
      <w:r>
        <w:t>).</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 xml:space="preserve">Select </w:t>
      </w:r>
      <w:proofErr w:type="spellStart"/>
      <w:r>
        <w:t>MyPrivateVPC</w:t>
      </w:r>
      <w:proofErr w:type="spellEnd"/>
      <w:r>
        <w:t>.</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5CEAD9F" w14:textId="77777777" w:rsidR="00DA69BF" w:rsidRDefault="00DA69BF" w:rsidP="00DA69BF">
      <w:pPr>
        <w:pStyle w:val="BodyText"/>
        <w:spacing w:before="23"/>
      </w:pPr>
      <w:r>
        <w:t>If instances need internet access (for updates, etc.), configure a NAT Gateway in a Public Subnet.</w:t>
      </w:r>
    </w:p>
    <w:p w14:paraId="24E78661" w14:textId="77777777" w:rsidR="00DA69BF" w:rsidRDefault="00DA69BF" w:rsidP="00DA69BF">
      <w:pPr>
        <w:pStyle w:val="BodyText"/>
        <w:spacing w:before="23"/>
      </w:pPr>
    </w:p>
    <w:p w14:paraId="611AF401" w14:textId="77777777" w:rsidR="00DA69BF" w:rsidRDefault="00DA69BF" w:rsidP="00DA69BF">
      <w:pPr>
        <w:pStyle w:val="BodyText"/>
        <w:spacing w:before="23"/>
      </w:pPr>
      <w:r>
        <w:t>Use Security Groups to allow inbound traffic only from internal sources (e.g., allow SSH from 10.0.0.0/16).</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lastRenderedPageBreak/>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77777777" w:rsidR="00DA69BF" w:rsidRDefault="00DA69BF" w:rsidP="00DA69BF">
      <w:pPr>
        <w:pStyle w:val="BodyText"/>
        <w:spacing w:before="49"/>
        <w:rPr>
          <w:sz w:val="20"/>
        </w:rPr>
      </w:pPr>
      <w:r>
        <w:t>Now, your private network is set up, and instances inside can communicate securely! Let me know if you need extra configurations like VPN, Bastion Host, or NAT setup.</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7E0CF2F5" w14:textId="77777777" w:rsidR="00DA69BF" w:rsidRPr="00DA69BF" w:rsidRDefault="00DA69BF" w:rsidP="00DA69BF">
      <w:pPr>
        <w:pStyle w:val="BodyText"/>
        <w:numPr>
          <w:ilvl w:val="0"/>
          <w:numId w:val="11"/>
        </w:numPr>
        <w:rPr>
          <w:sz w:val="36"/>
          <w:szCs w:val="36"/>
          <w:lang w:val="en-IN"/>
        </w:rPr>
      </w:pPr>
      <w:r w:rsidRPr="00DA69BF">
        <w:rPr>
          <w:sz w:val="36"/>
          <w:szCs w:val="36"/>
          <w:lang w:val="en-IN"/>
        </w:rPr>
        <w:t>Proper routing configured for internal communication between subnets.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22ACF" w14:textId="77777777" w:rsidR="006F7D64" w:rsidRDefault="006F7D64" w:rsidP="00FC0CBC">
      <w:r>
        <w:separator/>
      </w:r>
    </w:p>
  </w:endnote>
  <w:endnote w:type="continuationSeparator" w:id="0">
    <w:p w14:paraId="5590DA51" w14:textId="77777777" w:rsidR="006F7D64" w:rsidRDefault="006F7D64"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94AF2" w14:textId="77777777" w:rsidR="006F7D64" w:rsidRDefault="006F7D64" w:rsidP="00FC0CBC">
      <w:r>
        <w:separator/>
      </w:r>
    </w:p>
  </w:footnote>
  <w:footnote w:type="continuationSeparator" w:id="0">
    <w:p w14:paraId="2048C439" w14:textId="77777777" w:rsidR="006F7D64" w:rsidRDefault="006F7D64"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abstractNumId w:val="0"/>
  </w:num>
  <w:num w:numId="2">
    <w:abstractNumId w:val="11"/>
  </w:num>
  <w:num w:numId="3">
    <w:abstractNumId w:val="3"/>
  </w:num>
  <w:num w:numId="4">
    <w:abstractNumId w:val="2"/>
  </w:num>
  <w:num w:numId="5">
    <w:abstractNumId w:val="1"/>
  </w:num>
  <w:num w:numId="6">
    <w:abstractNumId w:val="9"/>
  </w:num>
  <w:num w:numId="7">
    <w:abstractNumId w:val="6"/>
  </w:num>
  <w:num w:numId="8">
    <w:abstractNumId w:val="7"/>
  </w:num>
  <w:num w:numId="9">
    <w:abstractNumId w:val="8"/>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0D058F"/>
    <w:rsid w:val="001369B2"/>
    <w:rsid w:val="001A4D5B"/>
    <w:rsid w:val="00261758"/>
    <w:rsid w:val="002B0E83"/>
    <w:rsid w:val="004F6C5E"/>
    <w:rsid w:val="006F7D64"/>
    <w:rsid w:val="007165D5"/>
    <w:rsid w:val="008D1E7B"/>
    <w:rsid w:val="009A4223"/>
    <w:rsid w:val="00A04556"/>
    <w:rsid w:val="00AF3A42"/>
    <w:rsid w:val="00B87A15"/>
    <w:rsid w:val="00D23FBE"/>
    <w:rsid w:val="00DA69BF"/>
    <w:rsid w:val="00DB3C86"/>
    <w:rsid w:val="00E5104C"/>
    <w:rsid w:val="00E525ED"/>
    <w:rsid w:val="00E80B30"/>
    <w:rsid w:val="00EE682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Admin</cp:lastModifiedBy>
  <cp:revision>4</cp:revision>
  <dcterms:created xsi:type="dcterms:W3CDTF">2025-02-07T00:29:00Z</dcterms:created>
  <dcterms:modified xsi:type="dcterms:W3CDTF">2025-02-07T00:31:00Z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