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 w:eastAsia="Poppins"/>
          <w:b/>
          <w:color w:val="0A1931"/>
          <w:sz w:val="44"/>
        </w:rPr>
        <w:t>Partnership Proposal — Universities &amp; Institutions</w:t>
      </w:r>
    </w:p>
    <w:p>
      <w:pPr>
        <w:spacing w:after="200"/>
      </w:pPr>
      <w:r>
        <w:rPr>
          <w:rFonts w:ascii="Poppins" w:hAnsi="Poppins" w:eastAsia="Poppins"/>
          <w:b w:val="0"/>
          <w:color w:val="718096"/>
          <w:sz w:val="21"/>
        </w:rPr>
        <w:t>Industry-aligned tracks, labs and placement support.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48"/>
              </w:rPr>
              <w:t>Skill Rules.</w:t>
            </w:r>
          </w:p>
          <w:p>
            <w:r>
              <w:rPr>
                <w:rFonts w:ascii="Poppins" w:hAnsi="Poppins" w:eastAsia="Poppins"/>
                <w:b/>
                <w:color w:val="FFFFFF"/>
                <w:sz w:val="40"/>
              </w:rPr>
              <w:t>Skill Reigns.</w:t>
            </w:r>
          </w:p>
          <w:p>
            <w:r>
              <w:rPr>
                <w:rFonts w:ascii="Poppins" w:hAnsi="Poppins" w:eastAsia="Poppins"/>
                <w:b w:val="0"/>
                <w:color w:val="DBEAFE"/>
                <w:sz w:val="21"/>
              </w:rPr>
              <w:t>Partnership proposal: practical, AI-powered specialisation tracks for your campus — live sessions, labs, projects, guidance and placements.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1. About SkillReigns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>SkillReigns is a student-obsessed learning ecosystem on a mission of enhancing cognition by leveraging science &amp; technology — public promise: Empowering Humans with AI. We own the journey: learn → implement → experience → employability → placement. Student success is our key metric.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2. Proposed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Specialisation Track</w:t>
            </w:r>
          </w:p>
        </w:tc>
        <w:tc>
          <w:tcPr>
            <w:tcW w:type="dxa" w:w="3250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Format</w:t>
            </w:r>
          </w:p>
        </w:tc>
        <w:tc>
          <w:tcPr>
            <w:tcW w:type="dxa" w:w="3250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Ideal For</w:t>
            </w:r>
          </w:p>
        </w:tc>
      </w:tr>
      <w:tr>
        <w:tc>
          <w:tcPr>
            <w:tcW w:type="dxa" w:w="3250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Data Analytics with AI</w:t>
            </w:r>
          </w:p>
        </w:tc>
        <w:tc>
          <w:tcPr>
            <w:tcW w:type="dxa" w:w="3250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Live + Labs + Projects</w:t>
            </w:r>
          </w:p>
        </w:tc>
        <w:tc>
          <w:tcPr>
            <w:tcW w:type="dxa" w:w="3250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All disciplines</w:t>
            </w:r>
          </w:p>
        </w:tc>
      </w:tr>
      <w:tr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AI / Generative AI</w:t>
            </w:r>
          </w:p>
        </w:tc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Live + Labs + Projects</w:t>
            </w:r>
          </w:p>
        </w:tc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Engineering, Science, Business</w:t>
            </w:r>
          </w:p>
        </w:tc>
      </w:tr>
      <w:tr>
        <w:tc>
          <w:tcPr>
            <w:tcW w:type="dxa" w:w="3250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MLOps / Cybersecurity / Robotics with AI</w:t>
            </w:r>
          </w:p>
        </w:tc>
        <w:tc>
          <w:tcPr>
            <w:tcW w:type="dxa" w:w="3250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Live + Labs + Projects</w:t>
            </w:r>
          </w:p>
        </w:tc>
        <w:tc>
          <w:tcPr>
            <w:tcW w:type="dxa" w:w="3250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Technical cohorts</w:t>
            </w:r>
          </w:p>
        </w:tc>
      </w:tr>
      <w:tr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AI for Business / Commerce / Non-Technical Roles</w:t>
            </w:r>
          </w:p>
        </w:tc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Live + Applied Projects</w:t>
            </w:r>
          </w:p>
        </w:tc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Non-technical cohorts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3. Delivery Model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Live sessions by practitioners + SkillReigns platform access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Hands-on labs, recall-boosting patterns, continuous projects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Experience programs, interview prep and placement support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Joint certification: </w:t>
      </w:r>
      <w:r>
        <w:rPr>
          <w:rFonts w:ascii="Poppins" w:hAnsi="Poppins" w:eastAsia="Poppins"/>
          <w:b/>
          <w:color w:val="2563EB"/>
          <w:sz w:val="21"/>
        </w:rPr>
        <w:t>[UNIVERSITY NAME]</w:t>
      </w:r>
      <w:r>
        <w:rPr>
          <w:rFonts w:ascii="Poppins" w:hAnsi="Poppins" w:eastAsia="Poppins"/>
          <w:b w:val="0"/>
          <w:color w:val="0F172A"/>
          <w:sz w:val="21"/>
        </w:rPr>
        <w:t xml:space="preserve"> × SkillReigns (verifiable)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4. Commercials (indicative)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4874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4874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Program fee per student</w:t>
            </w:r>
          </w:p>
        </w:tc>
        <w:tc>
          <w:tcPr>
            <w:tcW w:type="dxa" w:w="4874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[AMOUNT]</w:t>
            </w:r>
            <w:r>
              <w:rPr>
                <w:rFonts w:ascii="Poppins" w:hAnsi="Poppins" w:eastAsia="Poppins"/>
                <w:b w:val="0"/>
                <w:color w:val="0F172A"/>
                <w:sz w:val="21"/>
              </w:rPr>
              <w:t xml:space="preserve"> / revenue share </w:t>
            </w:r>
            <w:r>
              <w:rPr>
                <w:rFonts w:ascii="Poppins" w:hAnsi="Poppins" w:eastAsia="Poppins"/>
                <w:b/>
                <w:color w:val="2563EB"/>
                <w:sz w:val="21"/>
              </w:rPr>
              <w:t>[X% / Y%]</w:t>
            </w:r>
          </w:p>
        </w:tc>
      </w:tr>
      <w:tr>
        <w:tc>
          <w:tcPr>
            <w:tcW w:type="dxa" w:w="4874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Cohort size</w:t>
            </w:r>
          </w:p>
        </w:tc>
        <w:tc>
          <w:tcPr>
            <w:tcW w:type="dxa" w:w="4874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[MIN]</w:t>
            </w:r>
            <w:r>
              <w:rPr>
                <w:rFonts w:ascii="Poppins" w:hAnsi="Poppins" w:eastAsia="Poppins"/>
                <w:b w:val="0"/>
                <w:color w:val="0F172A"/>
                <w:sz w:val="21"/>
              </w:rPr>
              <w:t>–</w:t>
            </w:r>
            <w:r>
              <w:rPr>
                <w:rFonts w:ascii="Poppins" w:hAnsi="Poppins" w:eastAsia="Poppins"/>
                <w:b/>
                <w:color w:val="2563EB"/>
                <w:sz w:val="21"/>
              </w:rPr>
              <w:t>[MAX]</w:t>
            </w:r>
            <w:r>
              <w:rPr>
                <w:rFonts w:ascii="Poppins" w:hAnsi="Poppins" w:eastAsia="Poppins"/>
                <w:b w:val="0"/>
                <w:color w:val="0F172A"/>
                <w:sz w:val="21"/>
              </w:rPr>
              <w:t xml:space="preserve"> students</w:t>
            </w:r>
          </w:p>
        </w:tc>
      </w:tr>
      <w:tr>
        <w:tc>
          <w:tcPr>
            <w:tcW w:type="dxa" w:w="4874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Duration &amp; schedule</w:t>
            </w:r>
          </w:p>
        </w:tc>
        <w:tc>
          <w:tcPr>
            <w:tcW w:type="dxa" w:w="4874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[WEEKS]</w:t>
            </w:r>
            <w:r>
              <w:rPr>
                <w:rFonts w:ascii="Poppins" w:hAnsi="Poppins" w:eastAsia="Poppins"/>
                <w:b w:val="0"/>
                <w:color w:val="0F172A"/>
                <w:sz w:val="21"/>
              </w:rPr>
              <w:t xml:space="preserve"> · </w:t>
            </w:r>
            <w:r>
              <w:rPr>
                <w:rFonts w:ascii="Poppins" w:hAnsi="Poppins" w:eastAsia="Poppins"/>
                <w:b/>
                <w:color w:val="2563EB"/>
                <w:sz w:val="21"/>
              </w:rPr>
              <w:t>[DAYS/WEEK]</w:t>
            </w:r>
            <w:r>
              <w:rPr>
                <w:rFonts w:ascii="Poppins" w:hAnsi="Poppins" w:eastAsia="Poppins"/>
                <w:b w:val="0"/>
                <w:color w:val="0F172A"/>
                <w:sz w:val="21"/>
              </w:rPr>
              <w:t xml:space="preserve"> · </w:t>
            </w:r>
            <w:r>
              <w:rPr>
                <w:rFonts w:ascii="Poppins" w:hAnsi="Poppins" w:eastAsia="Poppins"/>
                <w:b/>
                <w:color w:val="2563EB"/>
                <w:sz w:val="21"/>
              </w:rPr>
              <w:t>[HOURS]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5. Next Steps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 xml:space="preserve">1) Program &amp; cohort finalisation → 2) MoU → 3) Orientation → 4) Launch. Valid till </w:t>
      </w:r>
      <w:r>
        <w:rPr>
          <w:rFonts w:ascii="Poppins" w:hAnsi="Poppins" w:eastAsia="Poppins"/>
          <w:b/>
          <w:color w:val="2563EB"/>
          <w:sz w:val="21"/>
        </w:rPr>
        <w:t>[DATE]</w:t>
      </w:r>
      <w:r>
        <w:rPr>
          <w:rFonts w:ascii="Poppins" w:hAnsi="Poppins" w:eastAsia="Poppins"/>
          <w:b w:val="0"/>
          <w:color w:val="0F172A"/>
          <w:sz w:val="21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For SkillReigns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 xml:space="preserve">For </w:t>
            </w:r>
            <w:r>
              <w:rPr>
                <w:rFonts w:ascii="Poppins" w:hAnsi="Poppins" w:eastAsia="Poppins"/>
                <w:b/>
                <w:color w:val="2563EB"/>
                <w:sz w:val="19"/>
              </w:rPr>
              <w:t>[UNIVERSITY NAME]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</w:tr>
      <w:tr>
        <w:tc>
          <w:tcPr>
            <w:tcW w:type="dxa" w:w="4874"/>
          </w:tcPr>
          <w:p/>
        </w:tc>
        <w:tc>
          <w:tcPr>
            <w:tcW w:type="dxa" w:w="487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718096"/>
        <w:sz w:val="16"/>
      </w:rPr>
      <w:t xml:space="preserve">SkillReigns Technologies Pvt. Ltd.  |  hello@skillreigns.com  |  skillreigns.com      SR-DOC-01 · v1.0 · Confidential      Page </w:t>
    </w:r>
    <w:r>
      <w:rPr>
        <w:sz/>
        <w:color/>
      </w:rPr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/>
        <w:color w:val="718096"/>
        <w:sz w:val="16"/>
      </w:rPr>
      <w:t xml:space="preserve">   SKILLREIGNS TECHNOLOGIES PVT. LTD.  |  Empowering Humans with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