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Course Brochure — Specialisation Tracks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Practical, industry-ready programs.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48"/>
              </w:rPr>
              <w:t>Empowering Humans with AI</w:t>
            </w:r>
          </w:p>
          <w:p/>
          <w:p>
            <w:r>
              <w:rPr>
                <w:rFonts w:ascii="Poppins" w:hAnsi="Poppins" w:eastAsia="Poppins"/>
                <w:b w:val="0"/>
                <w:color w:val="DBEAFE"/>
                <w:sz w:val="21"/>
              </w:rPr>
              <w:t>Not another course library. A complete journey from learning to employability — built around doing, recalling and applying.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Flagship: Specialisation Tracks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Track</w:t>
            </w:r>
          </w:p>
        </w:tc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You Become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Data Analytics with AI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AI-ready data professional</w:t>
            </w:r>
          </w:p>
        </w:tc>
      </w:tr>
      <w:tr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AI / Generative AI</w:t>
            </w:r>
          </w:p>
        </w:tc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Applied AI practitioner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MLOps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Production ML practitioner</w:t>
            </w:r>
          </w:p>
        </w:tc>
      </w:tr>
      <w:tr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Cybersecurity (AI-First)</w:t>
            </w:r>
          </w:p>
        </w:tc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AI-ready security professional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Robotics with AI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Intelligent-systems builder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The SkillReigns Journey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Live Sessions → Platform → Hands-on Labs → Real-World Projects → Recall Patterns → Expert Guidance → Experience Programs → Interviews → Placement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Who It Is For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Students, fresh graduates, working professionals (technical &amp; non-technical), and corporate teams. Global cohorts, human mentors, premium experience.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Enrol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Upcoming batch: </w:t>
      </w:r>
      <w:r>
        <w:rPr>
          <w:rFonts w:ascii="Poppins" w:hAnsi="Poppins" w:eastAsia="Poppins"/>
          <w:b/>
          <w:color w:val="2563EB"/>
          <w:sz w:val="21"/>
        </w:rPr>
        <w:t>[PROGRAM]</w:t>
      </w:r>
      <w:r>
        <w:rPr>
          <w:rFonts w:ascii="Poppins" w:hAnsi="Poppins" w:eastAsia="Poppins"/>
          <w:b w:val="0"/>
          <w:color w:val="0F172A"/>
          <w:sz w:val="21"/>
        </w:rPr>
        <w:t xml:space="preserve"> — starts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 xml:space="preserve">. Seats: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. Apply at </w:t>
      </w:r>
      <w:r>
        <w:rPr>
          <w:rFonts w:ascii="Poppins" w:hAnsi="Poppins" w:eastAsia="Poppins"/>
          <w:b/>
          <w:color w:val="2563EB"/>
          <w:sz w:val="21"/>
        </w:rPr>
        <w:t>[LINK]</w:t>
      </w:r>
      <w:r>
        <w:rPr>
          <w:rFonts w:ascii="Poppins" w:hAnsi="Poppins" w:eastAsia="Poppins"/>
          <w:b w:val="0"/>
          <w:color w:val="0F172A"/>
          <w:sz w:val="21"/>
        </w:rPr>
        <w:t xml:space="preserve"> or write to </w:t>
      </w:r>
      <w:r>
        <w:rPr>
          <w:rFonts w:ascii="Poppins" w:hAnsi="Poppins" w:eastAsia="Poppins"/>
          <w:b/>
          <w:color w:val="2563EB"/>
          <w:sz w:val="21"/>
        </w:rPr>
        <w:t>[EMAIL]</w:t>
      </w:r>
      <w:r>
        <w:rPr>
          <w:rFonts w:ascii="Poppins" w:hAnsi="Poppins" w:eastAsia="Poppins"/>
          <w:b w:val="0"/>
          <w:color w:val="0F172A"/>
          <w:sz w:val="21"/>
        </w:rPr>
        <w:t>. Skill Rules. Skill Reigns.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SR-DOC-02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