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Poppins" w:hAnsi="Poppins" w:eastAsia="Poppins"/>
          <w:b/>
          <w:color w:val="0A1931"/>
          <w:sz w:val="44"/>
        </w:rPr>
        <w:t>Enrollment Form — with Terms &amp; Conditions</w:t>
      </w:r>
    </w:p>
    <w:p>
      <w:pPr>
        <w:spacing w:after="200"/>
      </w:pPr>
      <w:r>
        <w:rPr>
          <w:rFonts w:ascii="Poppins" w:hAnsi="Poppins" w:eastAsia="Poppins"/>
          <w:b w:val="0"/>
          <w:color w:val="718096"/>
          <w:sz w:val="21"/>
        </w:rPr>
        <w:t>Admission record and binding terms.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val="clear" w:fill="FEF3C7"/>
          </w:tcPr>
          <w:p>
            <w:r>
              <w:rPr>
                <w:rFonts w:ascii="Poppins" w:hAnsi="Poppins" w:eastAsia="Poppins"/>
                <w:b/>
                <w:color w:val="0F172A"/>
                <w:sz w:val="20"/>
              </w:rPr>
              <w:t xml:space="preserve">DRAFT v1.0 — legal review required. Do not issue until cleared by counsel. Bracketed text </w:t>
            </w:r>
            <w:r>
              <w:rPr>
                <w:rFonts w:ascii="Poppins" w:hAnsi="Poppins" w:eastAsia="Poppins"/>
                <w:b/>
                <w:color w:val="2563EB"/>
                <w:sz w:val="20"/>
              </w:rPr>
              <w:t>[LIKE THIS]</w:t>
            </w:r>
            <w:r>
              <w:rPr>
                <w:rFonts w:ascii="Poppins" w:hAnsi="Poppins" w:eastAsia="Poppins"/>
                <w:b/>
                <w:color w:val="0F172A"/>
                <w:sz w:val="20"/>
              </w:rPr>
              <w:t xml:space="preserve"> must be completed per case.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Poppins" w:hAnsi="Poppins" w:eastAsia="Poppins"/>
          <w:b/>
          <w:color w:val="102A56"/>
          <w:sz w:val="26"/>
        </w:rPr>
        <w:t>A. Learner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c>
          <w:tcPr>
            <w:tcW w:type="dxa" w:w="2437"/>
            <w:shd w:val="clear" w:fill="0A1931"/>
          </w:tcPr>
          <w:p>
            <w:r>
              <w:rPr>
                <w:rFonts w:ascii="Poppins" w:hAnsi="Poppins" w:eastAsia="Poppins"/>
                <w:b/>
                <w:color w:val="FFFFFF"/>
                <w:sz w:val="21"/>
              </w:rPr>
              <w:t>Field</w:t>
            </w:r>
          </w:p>
        </w:tc>
        <w:tc>
          <w:tcPr>
            <w:tcW w:type="dxa" w:w="2437"/>
            <w:shd w:val="clear" w:fill="0A1931"/>
          </w:tcPr>
          <w:p>
            <w:r>
              <w:rPr>
                <w:rFonts w:ascii="Poppins" w:hAnsi="Poppins" w:eastAsia="Poppins"/>
                <w:b/>
                <w:color w:val="FFFFFF"/>
                <w:sz w:val="21"/>
              </w:rPr>
              <w:t>Fill in</w:t>
            </w:r>
          </w:p>
        </w:tc>
        <w:tc>
          <w:tcPr>
            <w:tcW w:type="dxa" w:w="2437"/>
            <w:shd w:val="clear" w:fill="0A1931"/>
          </w:tcPr>
          <w:p>
            <w:r>
              <w:rPr>
                <w:rFonts w:ascii="Poppins" w:hAnsi="Poppins" w:eastAsia="Poppins"/>
                <w:b/>
                <w:color w:val="FFFFFF"/>
                <w:sz w:val="21"/>
              </w:rPr>
              <w:t>Field</w:t>
            </w:r>
          </w:p>
        </w:tc>
        <w:tc>
          <w:tcPr>
            <w:tcW w:type="dxa" w:w="2437"/>
            <w:shd w:val="clear" w:fill="0A1931"/>
          </w:tcPr>
          <w:p>
            <w:r>
              <w:rPr>
                <w:rFonts w:ascii="Poppins" w:hAnsi="Poppins" w:eastAsia="Poppins"/>
                <w:b/>
                <w:color w:val="FFFFFF"/>
                <w:sz w:val="21"/>
              </w:rPr>
              <w:t>Fill in</w:t>
            </w:r>
          </w:p>
        </w:tc>
      </w:tr>
      <w:tr>
        <w:tc>
          <w:tcPr>
            <w:tcW w:type="dxa" w:w="2437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Full Name</w:t>
            </w:r>
          </w:p>
        </w:tc>
        <w:tc>
          <w:tcPr>
            <w:tcW w:type="dxa" w:w="2437"/>
          </w:tcPr>
          <w:p/>
        </w:tc>
        <w:tc>
          <w:tcPr>
            <w:tcW w:type="dxa" w:w="2437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DOB</w:t>
            </w:r>
          </w:p>
        </w:tc>
        <w:tc>
          <w:tcPr>
            <w:tcW w:type="dxa" w:w="2437"/>
          </w:tcPr>
          <w:p/>
        </w:tc>
      </w:tr>
      <w:tr>
        <w:tc>
          <w:tcPr>
            <w:tcW w:type="dxa" w:w="2437"/>
            <w:shd w:val="clear" w:fill="F8FAFC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Email</w:t>
            </w:r>
          </w:p>
        </w:tc>
        <w:tc>
          <w:tcPr>
            <w:tcW w:type="dxa" w:w="2437"/>
            <w:shd w:val="clear" w:fill="F8FAFC"/>
          </w:tcPr>
          <w:p/>
        </w:tc>
        <w:tc>
          <w:tcPr>
            <w:tcW w:type="dxa" w:w="2437"/>
            <w:shd w:val="clear" w:fill="F8FAFC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Phone</w:t>
            </w:r>
          </w:p>
        </w:tc>
        <w:tc>
          <w:tcPr>
            <w:tcW w:type="dxa" w:w="2437"/>
            <w:shd w:val="clear" w:fill="F8FAFC"/>
          </w:tcPr>
          <w:p/>
        </w:tc>
      </w:tr>
      <w:tr>
        <w:tc>
          <w:tcPr>
            <w:tcW w:type="dxa" w:w="2437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Address</w:t>
            </w:r>
          </w:p>
        </w:tc>
        <w:tc>
          <w:tcPr>
            <w:tcW w:type="dxa" w:w="2437"/>
          </w:tcPr>
          <w:p/>
        </w:tc>
        <w:tc>
          <w:tcPr>
            <w:tcW w:type="dxa" w:w="2437"/>
          </w:tcPr>
          <w:p/>
        </w:tc>
        <w:tc>
          <w:tcPr>
            <w:tcW w:type="dxa" w:w="2437"/>
          </w:tcPr>
          <w:p/>
        </w:tc>
      </w:tr>
      <w:tr>
        <w:tc>
          <w:tcPr>
            <w:tcW w:type="dxa" w:w="2437"/>
            <w:shd w:val="clear" w:fill="F8FAFC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Program / Track</w:t>
            </w:r>
          </w:p>
        </w:tc>
        <w:tc>
          <w:tcPr>
            <w:tcW w:type="dxa" w:w="2437"/>
            <w:shd w:val="clear" w:fill="F8FAFC"/>
          </w:tcPr>
          <w:p/>
        </w:tc>
        <w:tc>
          <w:tcPr>
            <w:tcW w:type="dxa" w:w="2437"/>
            <w:shd w:val="clear" w:fill="F8FAFC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Batch</w:t>
            </w:r>
          </w:p>
        </w:tc>
        <w:tc>
          <w:tcPr>
            <w:tcW w:type="dxa" w:w="2437"/>
            <w:shd w:val="clear" w:fill="F8FAFC"/>
          </w:tcPr>
          <w:p/>
        </w:tc>
      </w:tr>
      <w:tr>
        <w:tc>
          <w:tcPr>
            <w:tcW w:type="dxa" w:w="2437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Guardian (if minor)</w:t>
            </w:r>
          </w:p>
        </w:tc>
        <w:tc>
          <w:tcPr>
            <w:tcW w:type="dxa" w:w="2437"/>
          </w:tcPr>
          <w:p/>
        </w:tc>
        <w:tc>
          <w:tcPr>
            <w:tcW w:type="dxa" w:w="2437"/>
          </w:tcPr>
          <w:p>
            <w:r>
              <w:rPr>
                <w:rFonts w:ascii="Poppins" w:hAnsi="Poppins" w:eastAsia="Poppins"/>
                <w:b w:val="0"/>
                <w:color w:val="0F172A"/>
                <w:sz w:val="21"/>
              </w:rPr>
              <w:t>ID Proof</w:t>
            </w:r>
          </w:p>
        </w:tc>
        <w:tc>
          <w:tcPr>
            <w:tcW w:type="dxa" w:w="2437"/>
          </w:tcPr>
          <w:p/>
        </w:tc>
      </w:tr>
    </w:tbl>
    <w:p>
      <w:pPr>
        <w:spacing w:after="80"/>
      </w:pPr>
    </w:p>
    <w:p>
      <w:pPr>
        <w:spacing w:before="240" w:after="80"/>
      </w:pPr>
      <w:r>
        <w:rPr>
          <w:rFonts w:ascii="Poppins" w:hAnsi="Poppins" w:eastAsia="Poppins"/>
          <w:b/>
          <w:color w:val="102A56"/>
          <w:sz w:val="26"/>
        </w:rPr>
        <w:t xml:space="preserve">B. Terms &amp; Conditions (summary — full policy at </w:t>
      </w:r>
      <w:r>
        <w:rPr>
          <w:rFonts w:ascii="Poppins" w:hAnsi="Poppins" w:eastAsia="Poppins"/>
          <w:b/>
          <w:color w:val="2563EB"/>
          <w:sz w:val="26"/>
        </w:rPr>
        <w:t>[LINK]</w:t>
      </w:r>
      <w:r>
        <w:rPr>
          <w:rFonts w:ascii="Poppins" w:hAnsi="Poppins" w:eastAsia="Poppins"/>
          <w:b/>
          <w:color w:val="102A56"/>
          <w:sz w:val="26"/>
        </w:rPr>
        <w:t>)</w:t>
      </w:r>
    </w:p>
    <w:p>
      <w:pPr>
        <w:pStyle w:val="ListBullet"/>
      </w:pPr>
      <w:r>
        <w:rPr>
          <w:rFonts w:ascii="Poppins" w:hAnsi="Poppins" w:eastAsia="Poppins"/>
          <w:b w:val="0"/>
          <w:color w:val="0F172A"/>
          <w:sz w:val="21"/>
        </w:rPr>
        <w:t>Program scope: live sessions, platform, labs, projects, guidance and placement support per the program page; schedules may shift with notice.</w:t>
      </w:r>
    </w:p>
    <w:p>
      <w:pPr>
        <w:pStyle w:val="ListBullet"/>
      </w:pPr>
      <w:r>
        <w:rPr>
          <w:rFonts w:ascii="Poppins" w:hAnsi="Poppins" w:eastAsia="Poppins"/>
          <w:b w:val="0"/>
          <w:color w:val="0F172A"/>
          <w:sz w:val="21"/>
        </w:rPr>
        <w:t xml:space="preserve">Fees &amp; refunds: per Payment Plan; window </w:t>
      </w:r>
      <w:r>
        <w:rPr>
          <w:rFonts w:ascii="Poppins" w:hAnsi="Poppins" w:eastAsia="Poppins"/>
          <w:b/>
          <w:color w:val="2563EB"/>
          <w:sz w:val="21"/>
        </w:rPr>
        <w:t>[N DAYS]</w:t>
      </w:r>
      <w:r>
        <w:rPr>
          <w:rFonts w:ascii="Poppins" w:hAnsi="Poppins" w:eastAsia="Poppins"/>
          <w:b w:val="0"/>
          <w:color w:val="0F172A"/>
          <w:sz w:val="21"/>
        </w:rPr>
        <w:t xml:space="preserve"> from batch start less taxes/consumed services; none after assessments/placements begin.</w:t>
      </w:r>
    </w:p>
    <w:p>
      <w:pPr>
        <w:pStyle w:val="ListBullet"/>
      </w:pPr>
      <w:r>
        <w:rPr>
          <w:rFonts w:ascii="Poppins" w:hAnsi="Poppins" w:eastAsia="Poppins"/>
          <w:b w:val="0"/>
          <w:color w:val="0F172A"/>
          <w:sz w:val="21"/>
        </w:rPr>
        <w:t>Conduct: respectful, original work; plagiarism or disruption may suspend access without refund.</w:t>
      </w:r>
    </w:p>
    <w:p>
      <w:pPr>
        <w:pStyle w:val="ListBullet"/>
      </w:pPr>
      <w:r>
        <w:rPr>
          <w:rFonts w:ascii="Poppins" w:hAnsi="Poppins" w:eastAsia="Poppins"/>
          <w:b w:val="0"/>
          <w:color w:val="0F172A"/>
          <w:sz w:val="21"/>
        </w:rPr>
        <w:t>IP &amp; content: licensed, not sold; no redistribution/recording of live sessions without written consent.</w:t>
      </w:r>
    </w:p>
    <w:p>
      <w:pPr>
        <w:pStyle w:val="ListBullet"/>
      </w:pPr>
      <w:r>
        <w:rPr>
          <w:rFonts w:ascii="Poppins" w:hAnsi="Poppins" w:eastAsia="Poppins"/>
          <w:b w:val="0"/>
          <w:color w:val="0F172A"/>
          <w:sz w:val="21"/>
        </w:rPr>
        <w:t>Placements: preparation, interviews and opportunities provided; employment depends on learner + employer — no guaranteed outcome.</w:t>
      </w:r>
    </w:p>
    <w:p>
      <w:pPr>
        <w:pStyle w:val="ListBullet"/>
      </w:pPr>
      <w:r>
        <w:rPr>
          <w:rFonts w:ascii="Poppins" w:hAnsi="Poppins" w:eastAsia="Poppins"/>
          <w:b w:val="0"/>
          <w:color w:val="0F172A"/>
          <w:sz w:val="21"/>
        </w:rPr>
        <w:t>Data &amp; privacy: used for delivery/support per privacy policy; certificates carry verifiable IDs.</w:t>
      </w:r>
    </w:p>
    <w:p>
      <w:pPr>
        <w:pStyle w:val="ListBullet"/>
      </w:pPr>
      <w:r>
        <w:rPr>
          <w:rFonts w:ascii="Poppins" w:hAnsi="Poppins" w:eastAsia="Poppins"/>
          <w:b w:val="0"/>
          <w:color w:val="0F172A"/>
          <w:sz w:val="21"/>
        </w:rPr>
        <w:t xml:space="preserve">Governing law &amp; jurisdiction: </w:t>
      </w:r>
      <w:r>
        <w:rPr>
          <w:rFonts w:ascii="Poppins" w:hAnsi="Poppins" w:eastAsia="Poppins"/>
          <w:b/>
          <w:color w:val="2563EB"/>
          <w:sz w:val="21"/>
        </w:rPr>
        <w:t>[CITY]</w:t>
      </w:r>
      <w:r>
        <w:rPr>
          <w:rFonts w:ascii="Poppins" w:hAnsi="Poppins" w:eastAsia="Poppins"/>
          <w:b w:val="0"/>
          <w:color w:val="0F172A"/>
          <w:sz w:val="21"/>
        </w:rPr>
        <w:t xml:space="preserve">, India. Grievances: </w:t>
      </w:r>
      <w:r>
        <w:rPr>
          <w:rFonts w:ascii="Poppins" w:hAnsi="Poppins" w:eastAsia="Poppins"/>
          <w:b/>
          <w:color w:val="2563EB"/>
          <w:sz w:val="21"/>
        </w:rPr>
        <w:t>[EMAIL]</w:t>
      </w:r>
      <w:r>
        <w:rPr>
          <w:rFonts w:ascii="Poppins" w:hAnsi="Poppins" w:eastAsia="Poppins"/>
          <w:b w:val="0"/>
          <w:color w:val="0F172A"/>
          <w:sz w:val="21"/>
        </w:rPr>
        <w:t xml:space="preserve"> within </w:t>
      </w:r>
      <w:r>
        <w:rPr>
          <w:rFonts w:ascii="Poppins" w:hAnsi="Poppins" w:eastAsia="Poppins"/>
          <w:b/>
          <w:color w:val="2563EB"/>
          <w:sz w:val="21"/>
        </w:rPr>
        <w:t>[N]</w:t>
      </w:r>
      <w:r>
        <w:rPr>
          <w:rFonts w:ascii="Poppins" w:hAnsi="Poppins" w:eastAsia="Poppins"/>
          <w:b w:val="0"/>
          <w:color w:val="0F172A"/>
          <w:sz w:val="21"/>
        </w:rPr>
        <w:t xml:space="preserve"> days.</w:t>
      </w:r>
    </w:p>
    <w:p>
      <w:pPr>
        <w:spacing w:after="120"/>
      </w:pPr>
      <w:r>
        <w:rPr>
          <w:rFonts w:ascii="Poppins" w:hAnsi="Poppins" w:eastAsia="Poppins"/>
          <w:b w:val="0"/>
          <w:color w:val="0F172A"/>
          <w:sz w:val="21"/>
        </w:rPr>
        <w:t>I confirm the details above are true and accept the Terms &amp; Conditions.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4874"/>
            <w:tcBorders>
              <w:top w:val="single" w:sz="6" w:color="0A1931"/>
            </w:tcBorders>
          </w:tcPr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br/>
              <w:br/>
              <w:br/>
              <w:t>Learner (/ Guardian)</w:t>
            </w:r>
          </w:p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t>Name / Date / Sign</w:t>
            </w:r>
          </w:p>
        </w:tc>
        <w:tc>
          <w:tcPr>
            <w:tcW w:type="dxa" w:w="4874"/>
            <w:tcBorders>
              <w:top w:val="single" w:sz="6" w:color="0A1931"/>
            </w:tcBorders>
          </w:tcPr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br/>
              <w:br/>
              <w:br/>
              <w:t>For SkillReigns (Admissions)</w:t>
            </w:r>
          </w:p>
          <w:p>
            <w:r>
              <w:rPr>
                <w:rFonts w:ascii="Poppins" w:hAnsi="Poppins" w:eastAsia="Poppins"/>
                <w:b w:val="0"/>
                <w:color w:val="718096"/>
                <w:sz w:val="19"/>
              </w:rPr>
              <w:t>Name / Date / Sign</w:t>
            </w:r>
          </w:p>
        </w:tc>
      </w:tr>
      <w:tr>
        <w:tc>
          <w:tcPr>
            <w:tcW w:type="dxa" w:w="4874"/>
          </w:tcPr>
          <w:p/>
        </w:tc>
        <w:tc>
          <w:tcPr>
            <w:tcW w:type="dxa" w:w="4874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oppins" w:hAnsi="Poppins"/>
        <w:color w:val="718096"/>
        <w:sz w:val="16"/>
      </w:rPr>
      <w:t xml:space="preserve">SkillReigns Technologies Pvt. Ltd.  |  hello@skillreigns.com  |  skillreigns.com      SR-DOC-05 · v1.0 · Confidential      Page </w:t>
    </w:r>
    <w:r>
      <w:rPr>
        <w:sz/>
        <w:color/>
      </w:rPr>
    </w:r>
    <w:fldChar w:fldCharType="begin"/>
    <w:instrText xml:space="preserve">PAGE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ico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Poppins" w:hAnsi="Poppins"/>
        <w:color w:val="718096"/>
        <w:sz w:val="16"/>
      </w:rPr>
      <w:t xml:space="preserve">   SKILLREIGNS TECHNOLOGIES PVT. LTD.  |  Empowering Humans with AI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oppins" w:hAnsi="Poppins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