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Welcome &amp; Onboarding — Instructors &amp; Employees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Your first-week guide.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48"/>
              </w:rPr>
              <w:t>Welcome, Reigner.</w:t>
            </w:r>
          </w:p>
          <w:p/>
          <w:p>
            <w:r>
              <w:rPr>
                <w:rFonts w:ascii="Poppins" w:hAnsi="Poppins" w:eastAsia="Poppins"/>
                <w:b w:val="0"/>
                <w:color w:val="DBEAFE"/>
                <w:sz w:val="21"/>
              </w:rPr>
              <w:t>Your week-one companion: the mission, the method and the brand. (In Canva: duplicate into 16:9 slides.)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1. The Mission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While the industry chases machine intelligence, we grow human capability — attention, understanding, recall, application. Student success is the key metric; everything else follows.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2. The Method (learn → earn)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Live Sessions → Platform → Labs → Real Projects → Recall Patterns → Expert Guidance → Experience → Interviews → Placement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3. How We Speak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Corporate-precise with institutions; friendly-human with learners; premium-restrained for flagships; bold-constructive when challenging old education. Factual always — real value over gimmicks.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4. How We Look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Navy #0A1931 · Brand blue #2563EB · Electro Shakel for display, Poppins for everything else. Main logo by default; mono for single-colour; outline art for backgrounds only.</w:t>
      </w: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5. Your First Week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Day</w:t>
            </w:r>
          </w:p>
        </w:tc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Checkpoint</w:t>
            </w:r>
          </w:p>
        </w:tc>
        <w:tc>
          <w:tcPr>
            <w:tcW w:type="dxa" w:w="3250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Owner</w:t>
            </w:r>
          </w:p>
        </w:tc>
      </w:tr>
      <w:tr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1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Accounts, access, buddy intro, mission briefing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[HR]</w:t>
            </w:r>
          </w:p>
        </w:tc>
      </w:tr>
      <w:tr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2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Shadow a live session + lab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[MENTOR]</w:t>
            </w:r>
          </w:p>
        </w:tc>
      </w:tr>
      <w:tr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3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Brand &amp; tone immersion; tool walkthrough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[BRAND]</w:t>
            </w:r>
          </w:p>
        </w:tc>
      </w:tr>
      <w:tr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4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First contribution draft + review</w:t>
            </w:r>
          </w:p>
        </w:tc>
        <w:tc>
          <w:tcPr>
            <w:tcW w:type="dxa" w:w="3250"/>
            <w:shd w:val="clear" w:fill="F8FAFC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[MANAGER]</w:t>
            </w:r>
          </w:p>
        </w:tc>
      </w:tr>
      <w:tr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5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Retro, 30-60-90 goals, sign-off</w:t>
            </w:r>
          </w:p>
        </w:tc>
        <w:tc>
          <w:tcPr>
            <w:tcW w:type="dxa" w:w="3250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[MANAGER + HR]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Skill Rules. Skill Reigns. — Rauhaan Bidri, Founder &amp; CEO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SR-DOC-12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