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NDA &amp; IP Assignment Agreement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Confidentiality and IP terms.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FEF3C7"/>
          </w:tcPr>
          <w:p>
            <w:r>
              <w:rPr>
                <w:rFonts w:ascii="Poppins" w:hAnsi="Poppins" w:eastAsia="Poppins"/>
                <w:b/>
                <w:color w:val="0F172A"/>
                <w:sz w:val="20"/>
              </w:rPr>
              <w:t xml:space="preserve">DRAFT v1.0 — legal review required. Do not issue until cleared by counsel. Bracketed text </w:t>
            </w:r>
            <w:r>
              <w:rPr>
                <w:rFonts w:ascii="Poppins" w:hAnsi="Poppins" w:eastAsia="Poppins"/>
                <w:b/>
                <w:color w:val="2563EB"/>
                <w:sz w:val="20"/>
              </w:rPr>
              <w:t>[LIKE THIS]</w:t>
            </w:r>
            <w:r>
              <w:rPr>
                <w:rFonts w:ascii="Poppins" w:hAnsi="Poppins" w:eastAsia="Poppins"/>
                <w:b/>
                <w:color w:val="0F172A"/>
                <w:sz w:val="20"/>
              </w:rPr>
              <w:t xml:space="preserve"> must be completed per case.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Between SkillReigns Technologies Pvt. Ltd. ("Company") and </w:t>
      </w:r>
      <w:r>
        <w:rPr>
          <w:rFonts w:ascii="Poppins" w:hAnsi="Poppins" w:eastAsia="Poppins"/>
          <w:b/>
          <w:color w:val="2563EB"/>
          <w:sz w:val="21"/>
        </w:rPr>
        <w:t>[NAME]</w:t>
      </w:r>
      <w:r>
        <w:rPr>
          <w:rFonts w:ascii="Poppins" w:hAnsi="Poppins" w:eastAsia="Poppins"/>
          <w:b w:val="0"/>
          <w:color w:val="0F172A"/>
          <w:sz w:val="21"/>
        </w:rPr>
        <w:t xml:space="preserve"> ("Receiving Party" — employee / contractor / partner), effective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1. Confidential Information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All non-public material: curricula, learner data, platform code, business terms, roadmaps, brand assets. Excludes information already public or independently developed (proven in writing).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2. Obligations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Use Confidential Information only for the Purpose: </w:t>
      </w:r>
      <w:r>
        <w:rPr>
          <w:rFonts w:ascii="Poppins" w:hAnsi="Poppins" w:eastAsia="Poppins"/>
          <w:b/>
          <w:color w:val="2563EB"/>
          <w:sz w:val="21"/>
        </w:rPr>
        <w:t>[PURPOSE]</w:t>
      </w:r>
      <w:r>
        <w:rPr>
          <w:rFonts w:ascii="Poppins" w:hAnsi="Poppins" w:eastAsia="Poppins"/>
          <w:b w:val="0"/>
          <w:color w:val="0F172A"/>
          <w:sz w:val="21"/>
        </w:rPr>
        <w:t>; protect with at least reasonable care; no disclosure without prior written consent.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Survives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years after disclosure / termination. Return or destroy materials on request.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3. IP Assignment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All work product in scope (content, code, designs, recordings) vests exclusively in the Company from creation, worldwide, in perpetuity, with moral-rights waiver to the extent permitted by law.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Receiving Party executes further documents to perfect title; pre-existing IP listed in Annexure </w:t>
      </w:r>
      <w:r>
        <w:rPr>
          <w:rFonts w:ascii="Poppins" w:hAnsi="Poppins" w:eastAsia="Poppins"/>
          <w:b/>
          <w:color w:val="2563EB"/>
          <w:sz w:val="21"/>
        </w:rPr>
        <w:t>[A]</w:t>
      </w:r>
      <w:r>
        <w:rPr>
          <w:rFonts w:ascii="Poppins" w:hAnsi="Poppins" w:eastAsia="Poppins"/>
          <w:b w:val="0"/>
          <w:color w:val="0F172A"/>
          <w:sz w:val="21"/>
        </w:rPr>
        <w:t>, licensed as agreed.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4. General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No licence except as stated; no non-compete beyond </w:t>
      </w:r>
      <w:r>
        <w:rPr>
          <w:rFonts w:ascii="Poppins" w:hAnsi="Poppins" w:eastAsia="Poppins"/>
          <w:b/>
          <w:color w:val="2563EB"/>
          <w:sz w:val="21"/>
        </w:rPr>
        <w:t>[SCOPE, if any]</w:t>
      </w:r>
      <w:r>
        <w:rPr>
          <w:rFonts w:ascii="Poppins" w:hAnsi="Poppins" w:eastAsia="Poppins"/>
          <w:b w:val="0"/>
          <w:color w:val="0F172A"/>
          <w:sz w:val="21"/>
        </w:rPr>
        <w:t xml:space="preserve">; breach may warrant injunctive relief. Governing law &amp; jurisdiction: </w:t>
      </w:r>
      <w:r>
        <w:rPr>
          <w:rFonts w:ascii="Poppins" w:hAnsi="Poppins" w:eastAsia="Poppins"/>
          <w:b/>
          <w:color w:val="2563EB"/>
          <w:sz w:val="21"/>
        </w:rPr>
        <w:t>[CITY]</w:t>
      </w:r>
      <w:r>
        <w:rPr>
          <w:rFonts w:ascii="Poppins" w:hAnsi="Poppins" w:eastAsia="Poppins"/>
          <w:b w:val="0"/>
          <w:color w:val="0F172A"/>
          <w:sz w:val="21"/>
        </w:rPr>
        <w:t>, India.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Receiving Party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SR-DOC-13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