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 w:line="288" w:lineRule="auto"/>
        <w:rPr>
          <w:rFonts w:ascii="Inter" w:cs="Inter" w:eastAsia="Inter" w:hAnsi="Inter"/>
        </w:rPr>
      </w:pPr>
      <w:r w:rsidDel="00000000" w:rsidR="00000000" w:rsidRPr="00000000">
        <w:rPr>
          <w:rtl w:val="0"/>
        </w:rPr>
      </w:r>
    </w:p>
    <w:p w:rsidR="00000000" w:rsidDel="00000000" w:rsidP="00000000" w:rsidRDefault="00000000" w:rsidRPr="00000000" w14:paraId="00000002">
      <w:pPr>
        <w:pStyle w:val="Title"/>
        <w:keepNext w:val="0"/>
        <w:keepLines w:val="0"/>
        <w:spacing w:before="320" w:line="240" w:lineRule="auto"/>
        <w:ind w:left="720"/>
        <w:jc w:val="center"/>
        <w:rPr>
          <w:rFonts w:ascii="Inter" w:cs="Inter" w:eastAsia="Inter" w:hAnsi="Inter"/>
          <w:b w:val="1"/>
          <w:bCs w:val="1"/>
          <w:u w:val="single"/>
        </w:rPr>
      </w:pPr>
      <w:bookmarkStart w:colFirst="0" w:colLast="0" w:name="_jzavlrq2uiao" w:id="0"/>
      <w:bookmarkEnd w:id="0"/>
      <w:r w:rsidDel="00000000" w:rsidR="00000000" w:rsidRPr="00000000">
        <w:rPr>
          <w:rFonts w:ascii="Inter" w:cs="Inter" w:eastAsia="Inter" w:hAnsi="Inter"/>
          <w:b w:val="1"/>
          <w:bCs w:val="1"/>
          <w:u w:val="single"/>
          <w:rtl w:val="0"/>
        </w:rPr>
        <w:t xml:space="preserve">Internal Transfer Policy</w:t>
      </w:r>
    </w:p>
    <w:p w:rsidR="00000000" w:rsidDel="00000000" w:rsidP="00000000" w:rsidRDefault="00000000" w:rsidRPr="00000000" w14:paraId="00000003">
      <w:pPr>
        <w:spacing w:after="60" w:line="240" w:lineRule="auto"/>
        <w:rPr>
          <w:b w:val="1"/>
          <w:bCs w:val="1"/>
          <w:sz w:val="28"/>
          <w:szCs w:val="28"/>
        </w:rPr>
      </w:pPr>
      <w:r w:rsidDel="00000000" w:rsidR="00000000" w:rsidRPr="00000000">
        <w:rPr>
          <w:rtl w:val="0"/>
        </w:rPr>
      </w:r>
    </w:p>
    <w:p w:rsidR="00000000" w:rsidDel="00000000" w:rsidP="00000000" w:rsidRDefault="00000000" w:rsidRPr="00000000" w14:paraId="00000004">
      <w:pPr>
        <w:spacing w:after="60" w:line="240" w:lineRule="auto"/>
        <w:jc w:val="center"/>
        <w:rPr>
          <w:sz w:val="24"/>
          <w:szCs w:val="24"/>
        </w:rPr>
      </w:pPr>
      <w:r w:rsidDel="00000000" w:rsidR="00000000" w:rsidRPr="00000000">
        <w:rPr>
          <w:b w:val="1"/>
          <w:bCs w:val="1"/>
          <w:sz w:val="24"/>
          <w:szCs w:val="24"/>
          <w:rtl w:val="0"/>
        </w:rPr>
        <w:t xml:space="preserve">At Mainstay, </w:t>
      </w:r>
      <w:r w:rsidDel="00000000" w:rsidR="00000000" w:rsidRPr="00000000">
        <w:rPr>
          <w:sz w:val="24"/>
          <w:szCs w:val="24"/>
          <w:rtl w:val="0"/>
        </w:rPr>
        <w:t xml:space="preserve">we care about providing our employees with every opportunity possible to help them grow in their careers, wherever it may take them. The internal transfer process complements the professional development framework, connecting internal candidates with meaningful career opportunities, development resources, and exposure to company leadership.</w:t>
      </w:r>
    </w:p>
    <w:p w:rsidR="00000000" w:rsidDel="00000000" w:rsidP="00000000" w:rsidRDefault="00000000" w:rsidRPr="00000000" w14:paraId="00000005">
      <w:pPr>
        <w:spacing w:after="60" w:line="240" w:lineRule="auto"/>
        <w:rPr>
          <w:sz w:val="24"/>
          <w:szCs w:val="24"/>
        </w:rPr>
      </w:pPr>
      <w:r w:rsidDel="00000000" w:rsidR="00000000" w:rsidRPr="00000000">
        <w:rPr>
          <w:rtl w:val="0"/>
        </w:rPr>
      </w:r>
    </w:p>
    <w:p w:rsidR="00000000" w:rsidDel="00000000" w:rsidP="00000000" w:rsidRDefault="00000000" w:rsidRPr="00000000" w14:paraId="00000006">
      <w:pPr>
        <w:pStyle w:val="Heading2"/>
        <w:spacing w:after="60" w:line="240" w:lineRule="auto"/>
        <w:rPr>
          <w:rFonts w:ascii="Arial" w:cs="Arial" w:eastAsia="Arial" w:hAnsi="Arial"/>
          <w:color w:val="000000"/>
          <w:sz w:val="32"/>
          <w:szCs w:val="32"/>
        </w:rPr>
      </w:pPr>
      <w:bookmarkStart w:colFirst="0" w:colLast="0" w:name="_2epb3s6576oi" w:id="1"/>
      <w:bookmarkEnd w:id="1"/>
      <w:r w:rsidDel="00000000" w:rsidR="00000000" w:rsidRPr="00000000">
        <w:rPr>
          <w:rFonts w:ascii="Arial" w:cs="Arial" w:eastAsia="Arial" w:hAnsi="Arial"/>
          <w:color w:val="000000"/>
          <w:sz w:val="32"/>
          <w:szCs w:val="32"/>
          <w:rtl w:val="0"/>
        </w:rPr>
        <w:t xml:space="preserve">Internal Transfers:</w:t>
      </w:r>
    </w:p>
    <w:p w:rsidR="00000000" w:rsidDel="00000000" w:rsidP="00000000" w:rsidRDefault="00000000" w:rsidRPr="00000000" w14:paraId="00000007">
      <w:pPr>
        <w:widowControl w:val="0"/>
        <w:spacing w:line="240" w:lineRule="auto"/>
        <w:rPr>
          <w:sz w:val="22"/>
          <w:szCs w:val="22"/>
        </w:rPr>
      </w:pPr>
      <w:r w:rsidDel="00000000" w:rsidR="00000000" w:rsidRPr="00000000">
        <w:rPr>
          <w:sz w:val="22"/>
          <w:szCs w:val="22"/>
          <w:rtl w:val="0"/>
        </w:rPr>
        <w:t xml:space="preserve">Internal transfers result from internal employees applying for and being selected for budgeted roles with an open requisition. Internal Transfers typically result in a change in job duties and manager. These transfers may be the same or higher (or in some cases even lower) levels, job profiles, and pay than the employees’ current position. Internal Transfers may also result in a location change.</w:t>
      </w:r>
    </w:p>
    <w:p w:rsidR="00000000" w:rsidDel="00000000" w:rsidP="00000000" w:rsidRDefault="00000000" w:rsidRPr="00000000" w14:paraId="00000008">
      <w:pPr>
        <w:spacing w:after="60" w:line="240" w:lineRule="auto"/>
        <w:rPr>
          <w:sz w:val="22"/>
          <w:szCs w:val="22"/>
        </w:rPr>
      </w:pPr>
      <w:r w:rsidDel="00000000" w:rsidR="00000000" w:rsidRPr="00000000">
        <w:rPr>
          <w:rtl w:val="0"/>
        </w:rPr>
      </w:r>
    </w:p>
    <w:p w:rsidR="00000000" w:rsidDel="00000000" w:rsidP="00000000" w:rsidRDefault="00000000" w:rsidRPr="00000000" w14:paraId="00000009">
      <w:pPr>
        <w:spacing w:after="60" w:line="240" w:lineRule="auto"/>
        <w:rPr>
          <w:sz w:val="22"/>
          <w:szCs w:val="22"/>
        </w:rPr>
      </w:pPr>
      <w:r w:rsidDel="00000000" w:rsidR="00000000" w:rsidRPr="00000000">
        <w:rPr>
          <w:sz w:val="22"/>
          <w:szCs w:val="22"/>
          <w:rtl w:val="0"/>
        </w:rPr>
        <w:t xml:space="preserve">Please note: This policy should not be confused with in-line promotions which are an expansion of an individual’s current responsibilities, that typically do not result in a change of primary responsibilities, manager, team or location. In-line promotions are managed through the review cycle process. Promotions can also be off-cycle if the business needs arises on a case by case basis. </w:t>
      </w:r>
    </w:p>
    <w:p w:rsidR="00000000" w:rsidDel="00000000" w:rsidP="00000000" w:rsidRDefault="00000000" w:rsidRPr="00000000" w14:paraId="0000000A">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B">
      <w:pPr>
        <w:pStyle w:val="Heading2"/>
        <w:spacing w:after="120" w:before="360" w:line="276" w:lineRule="auto"/>
        <w:rPr>
          <w:rFonts w:ascii="Inter" w:cs="Inter" w:eastAsia="Inter" w:hAnsi="Inter"/>
          <w:color w:val="000000"/>
          <w:sz w:val="32"/>
          <w:szCs w:val="32"/>
        </w:rPr>
      </w:pPr>
      <w:bookmarkStart w:colFirst="0" w:colLast="0" w:name="_68jxx3w6za19" w:id="2"/>
      <w:bookmarkEnd w:id="2"/>
      <w:r w:rsidDel="00000000" w:rsidR="00000000" w:rsidRPr="00000000">
        <w:rPr>
          <w:rFonts w:ascii="Inter" w:cs="Inter" w:eastAsia="Inter" w:hAnsi="Inter"/>
          <w:color w:val="000000"/>
          <w:sz w:val="32"/>
          <w:szCs w:val="32"/>
          <w:rtl w:val="0"/>
        </w:rPr>
        <w:t xml:space="preserve">Eligibility:</w:t>
      </w:r>
    </w:p>
    <w:p w:rsidR="00000000" w:rsidDel="00000000" w:rsidP="00000000" w:rsidRDefault="00000000" w:rsidRPr="00000000" w14:paraId="0000000C">
      <w:pPr>
        <w:numPr>
          <w:ilvl w:val="0"/>
          <w:numId w:val="2"/>
        </w:numPr>
        <w:pBdr>
          <w:top w:color="auto" w:space="0" w:sz="0" w:val="none"/>
          <w:bottom w:color="auto" w:space="0" w:sz="0" w:val="none"/>
          <w:between w:color="auto" w:space="0" w:sz="0" w:val="none"/>
        </w:pBdr>
        <w:ind w:left="720" w:hanging="360"/>
        <w:rPr>
          <w:sz w:val="22"/>
          <w:szCs w:val="22"/>
        </w:rPr>
      </w:pPr>
      <w:r w:rsidDel="00000000" w:rsidR="00000000" w:rsidRPr="00000000">
        <w:rPr>
          <w:sz w:val="22"/>
          <w:szCs w:val="22"/>
          <w:rtl w:val="0"/>
        </w:rPr>
        <w:t xml:space="preserve">Be an active Mainstay team member, not currently on leave of absence.</w:t>
      </w:r>
    </w:p>
    <w:p w:rsidR="00000000" w:rsidDel="00000000" w:rsidP="00000000" w:rsidRDefault="00000000" w:rsidRPr="00000000" w14:paraId="0000000D">
      <w:pPr>
        <w:numPr>
          <w:ilvl w:val="0"/>
          <w:numId w:val="2"/>
        </w:numPr>
        <w:pBdr>
          <w:top w:color="auto" w:space="0" w:sz="0" w:val="none"/>
          <w:bottom w:color="auto" w:space="0" w:sz="0" w:val="none"/>
          <w:between w:color="auto" w:space="0" w:sz="0" w:val="none"/>
        </w:pBdr>
        <w:ind w:left="720" w:hanging="360"/>
        <w:rPr>
          <w:sz w:val="22"/>
          <w:szCs w:val="22"/>
        </w:rPr>
      </w:pPr>
      <w:r w:rsidDel="00000000" w:rsidR="00000000" w:rsidRPr="00000000">
        <w:rPr>
          <w:sz w:val="22"/>
          <w:szCs w:val="22"/>
          <w:rtl w:val="0"/>
        </w:rPr>
        <w:t xml:space="preserve">Have a minimum of 6 months experience in your current role to qualify.</w:t>
      </w:r>
    </w:p>
    <w:p w:rsidR="00000000" w:rsidDel="00000000" w:rsidP="00000000" w:rsidRDefault="00000000" w:rsidRPr="00000000" w14:paraId="0000000E">
      <w:pPr>
        <w:numPr>
          <w:ilvl w:val="0"/>
          <w:numId w:val="2"/>
        </w:numPr>
        <w:pBdr>
          <w:top w:color="auto" w:space="0" w:sz="0" w:val="none"/>
          <w:bottom w:color="auto" w:space="0" w:sz="0" w:val="none"/>
          <w:between w:color="auto" w:space="0" w:sz="0" w:val="none"/>
        </w:pBdr>
        <w:ind w:left="720" w:hanging="360"/>
        <w:rPr>
          <w:sz w:val="22"/>
          <w:szCs w:val="22"/>
        </w:rPr>
      </w:pPr>
      <w:r w:rsidDel="00000000" w:rsidR="00000000" w:rsidRPr="00000000">
        <w:rPr>
          <w:sz w:val="22"/>
          <w:szCs w:val="22"/>
          <w:rtl w:val="0"/>
        </w:rPr>
        <w:t xml:space="preserve">Maintain a strong performance record—employees on a performance improvement plan are not eligible.</w:t>
      </w:r>
    </w:p>
    <w:p w:rsidR="00000000" w:rsidDel="00000000" w:rsidP="00000000" w:rsidRDefault="00000000" w:rsidRPr="00000000" w14:paraId="0000000F">
      <w:pPr>
        <w:numPr>
          <w:ilvl w:val="0"/>
          <w:numId w:val="2"/>
        </w:numPr>
        <w:pBdr>
          <w:top w:color="auto" w:space="0" w:sz="0" w:val="none"/>
          <w:bottom w:color="auto" w:space="0" w:sz="0" w:val="none"/>
          <w:between w:color="auto" w:space="0" w:sz="0" w:val="none"/>
        </w:pBdr>
        <w:ind w:left="720" w:hanging="360"/>
        <w:rPr>
          <w:sz w:val="22"/>
          <w:szCs w:val="22"/>
        </w:rPr>
      </w:pPr>
      <w:r w:rsidDel="00000000" w:rsidR="00000000" w:rsidRPr="00000000">
        <w:rPr>
          <w:sz w:val="22"/>
          <w:szCs w:val="22"/>
          <w:rtl w:val="0"/>
        </w:rPr>
        <w:t xml:space="preserve">If you’d like, schedule a confidential exploratory chat with the Recruiter assigned to the role to clarify expectations and confirm your interest before speaking with your manager or formally applying.</w:t>
      </w:r>
    </w:p>
    <w:p w:rsidR="00000000" w:rsidDel="00000000" w:rsidP="00000000" w:rsidRDefault="00000000" w:rsidRPr="00000000" w14:paraId="00000010">
      <w:pPr>
        <w:numPr>
          <w:ilvl w:val="1"/>
          <w:numId w:val="2"/>
        </w:numPr>
        <w:pBdr>
          <w:top w:color="auto" w:space="0" w:sz="0" w:val="none"/>
          <w:bottom w:color="auto" w:space="0" w:sz="0" w:val="none"/>
          <w:between w:color="auto" w:space="0" w:sz="0" w:val="none"/>
        </w:pBdr>
        <w:ind w:left="1440" w:hanging="360"/>
        <w:rPr>
          <w:sz w:val="22"/>
          <w:szCs w:val="22"/>
          <w:u w:val="none"/>
        </w:rPr>
      </w:pPr>
      <w:r w:rsidDel="00000000" w:rsidR="00000000" w:rsidRPr="00000000">
        <w:rPr>
          <w:sz w:val="22"/>
          <w:szCs w:val="22"/>
          <w:rtl w:val="0"/>
        </w:rPr>
        <w:t xml:space="preserve">Employees will be required to communicate interest to their manager prior to a formal application.</w:t>
      </w:r>
    </w:p>
    <w:p w:rsidR="00000000" w:rsidDel="00000000" w:rsidP="00000000" w:rsidRDefault="00000000" w:rsidRPr="00000000" w14:paraId="00000011">
      <w:pPr>
        <w:numPr>
          <w:ilvl w:val="0"/>
          <w:numId w:val="2"/>
        </w:numPr>
        <w:pBdr>
          <w:top w:color="auto" w:space="0" w:sz="0" w:val="none"/>
          <w:bottom w:color="auto" w:space="0" w:sz="0" w:val="none"/>
          <w:between w:color="auto" w:space="0" w:sz="0" w:val="none"/>
        </w:pBdr>
        <w:ind w:left="720" w:hanging="360"/>
        <w:rPr>
          <w:sz w:val="22"/>
          <w:szCs w:val="22"/>
        </w:rPr>
      </w:pPr>
      <w:r w:rsidDel="00000000" w:rsidR="00000000" w:rsidRPr="00000000">
        <w:rPr>
          <w:sz w:val="22"/>
          <w:szCs w:val="22"/>
          <w:rtl w:val="0"/>
        </w:rPr>
        <w:t xml:space="preserve">Proper level alignment is essential; leadership roles should not apply for lower-level individual contributor positions without understanding the level mapping and scope of the desired position. For example, an L4 should not pursue an S3 role without speaking with the People team first. Misaligning levels—whether moving up or down—creates unrealistic expectations and negatively impacts both the company and the employee.</w:t>
      </w:r>
      <w:r w:rsidDel="00000000" w:rsidR="00000000" w:rsidRPr="00000000">
        <w:rPr>
          <w:rtl w:val="0"/>
        </w:rPr>
      </w:r>
    </w:p>
    <w:p w:rsidR="00000000" w:rsidDel="00000000" w:rsidP="00000000" w:rsidRDefault="00000000" w:rsidRPr="00000000" w14:paraId="00000012">
      <w:pPr>
        <w:pBdr>
          <w:top w:color="auto" w:space="0" w:sz="0" w:val="none"/>
          <w:bottom w:color="auto" w:space="0" w:sz="0" w:val="none"/>
          <w:between w:color="auto" w:space="0" w:sz="0" w:val="none"/>
        </w:pBdr>
        <w:rPr>
          <w:sz w:val="22"/>
          <w:szCs w:val="22"/>
        </w:rPr>
      </w:pPr>
      <w:r w:rsidDel="00000000" w:rsidR="00000000" w:rsidRPr="00000000">
        <w:rPr>
          <w:rtl w:val="0"/>
        </w:rPr>
      </w:r>
    </w:p>
    <w:p w:rsidR="00000000" w:rsidDel="00000000" w:rsidP="00000000" w:rsidRDefault="00000000" w:rsidRPr="00000000" w14:paraId="00000013">
      <w:pPr>
        <w:pBdr>
          <w:top w:color="auto" w:space="0" w:sz="0" w:val="none"/>
          <w:bottom w:color="auto" w:space="0" w:sz="0" w:val="none"/>
          <w:between w:color="auto" w:space="0" w:sz="0" w:val="none"/>
        </w:pBdr>
        <w:rPr>
          <w:sz w:val="22"/>
          <w:szCs w:val="22"/>
        </w:rPr>
      </w:pPr>
      <w:r w:rsidDel="00000000" w:rsidR="00000000" w:rsidRPr="00000000">
        <w:rPr>
          <w:rtl w:val="0"/>
        </w:rPr>
      </w:r>
    </w:p>
    <w:p w:rsidR="00000000" w:rsidDel="00000000" w:rsidP="00000000" w:rsidRDefault="00000000" w:rsidRPr="00000000" w14:paraId="00000014">
      <w:pPr>
        <w:pStyle w:val="Heading2"/>
        <w:spacing w:after="120" w:before="360" w:line="276" w:lineRule="auto"/>
        <w:rPr>
          <w:rFonts w:ascii="Inter" w:cs="Inter" w:eastAsia="Inter" w:hAnsi="Inter"/>
          <w:color w:val="000000"/>
          <w:sz w:val="32"/>
          <w:szCs w:val="32"/>
        </w:rPr>
      </w:pPr>
      <w:bookmarkStart w:colFirst="0" w:colLast="0" w:name="_a9nnrb2o2kid" w:id="3"/>
      <w:bookmarkEnd w:id="3"/>
      <w:r w:rsidDel="00000000" w:rsidR="00000000" w:rsidRPr="00000000">
        <w:rPr>
          <w:rFonts w:ascii="Inter" w:cs="Inter" w:eastAsia="Inter" w:hAnsi="Inter"/>
          <w:color w:val="000000"/>
          <w:sz w:val="32"/>
          <w:szCs w:val="32"/>
          <w:rtl w:val="0"/>
        </w:rPr>
        <w:t xml:space="preserve">Interview Process:</w:t>
      </w:r>
    </w:p>
    <w:p w:rsidR="00000000" w:rsidDel="00000000" w:rsidP="00000000" w:rsidRDefault="00000000" w:rsidRPr="00000000" w14:paraId="00000015">
      <w:pPr>
        <w:numPr>
          <w:ilvl w:val="0"/>
          <w:numId w:val="1"/>
        </w:numPr>
        <w:pBdr>
          <w:top w:color="auto" w:space="0" w:sz="0" w:val="none"/>
          <w:bottom w:color="auto" w:space="0" w:sz="0" w:val="none"/>
          <w:between w:color="auto" w:space="0" w:sz="0" w:val="none"/>
        </w:pBdr>
        <w:ind w:left="720" w:hanging="360"/>
        <w:rPr>
          <w:sz w:val="22"/>
          <w:szCs w:val="22"/>
        </w:rPr>
      </w:pPr>
      <w:r w:rsidDel="00000000" w:rsidR="00000000" w:rsidRPr="00000000">
        <w:rPr>
          <w:sz w:val="22"/>
          <w:szCs w:val="22"/>
          <w:rtl w:val="0"/>
        </w:rPr>
        <w:t xml:space="preserve">All postings will be shared via email to </w:t>
      </w:r>
      <w:r w:rsidDel="00000000" w:rsidR="00000000" w:rsidRPr="00000000">
        <w:rPr>
          <w:sz w:val="22"/>
          <w:szCs w:val="22"/>
          <w:rtl w:val="0"/>
        </w:rPr>
        <w:t xml:space="preserve">all Mainstay employees </w:t>
      </w:r>
      <w:r w:rsidDel="00000000" w:rsidR="00000000" w:rsidRPr="00000000">
        <w:rPr>
          <w:sz w:val="22"/>
          <w:szCs w:val="22"/>
          <w:rtl w:val="0"/>
        </w:rPr>
        <w:t xml:space="preserve">following a standardized template that clearly outlines the job description, required qualifications, timeline, logistical details,</w:t>
      </w:r>
      <w:r w:rsidDel="00000000" w:rsidR="00000000" w:rsidRPr="00000000">
        <w:rPr>
          <w:sz w:val="22"/>
          <w:szCs w:val="22"/>
          <w:rtl w:val="0"/>
        </w:rPr>
        <w:t xml:space="preserve"> role leveling</w:t>
      </w:r>
      <w:r w:rsidDel="00000000" w:rsidR="00000000" w:rsidRPr="00000000">
        <w:rPr>
          <w:sz w:val="22"/>
          <w:szCs w:val="22"/>
          <w:rtl w:val="0"/>
        </w:rPr>
        <w:t xml:space="preserve">, high-level compensation expectations, and hiring manager contact information.</w:t>
      </w:r>
    </w:p>
    <w:p w:rsidR="00000000" w:rsidDel="00000000" w:rsidP="00000000" w:rsidRDefault="00000000" w:rsidRPr="00000000" w14:paraId="00000016">
      <w:pPr>
        <w:numPr>
          <w:ilvl w:val="0"/>
          <w:numId w:val="1"/>
        </w:numPr>
        <w:pBdr>
          <w:top w:color="auto" w:space="0" w:sz="0" w:val="none"/>
          <w:bottom w:color="auto" w:space="0" w:sz="0" w:val="none"/>
          <w:between w:color="auto" w:space="0" w:sz="0" w:val="none"/>
        </w:pBdr>
        <w:ind w:left="720" w:hanging="360"/>
        <w:rPr>
          <w:sz w:val="22"/>
          <w:szCs w:val="22"/>
        </w:rPr>
      </w:pPr>
      <w:r w:rsidDel="00000000" w:rsidR="00000000" w:rsidRPr="00000000">
        <w:rPr>
          <w:sz w:val="22"/>
          <w:szCs w:val="22"/>
          <w:rtl w:val="0"/>
        </w:rPr>
        <w:t xml:space="preserve">The application window and closing date will always be clearly specified.</w:t>
      </w:r>
    </w:p>
    <w:p w:rsidR="00000000" w:rsidDel="00000000" w:rsidP="00000000" w:rsidRDefault="00000000" w:rsidRPr="00000000" w14:paraId="00000017">
      <w:pPr>
        <w:numPr>
          <w:ilvl w:val="0"/>
          <w:numId w:val="1"/>
        </w:numPr>
        <w:pBdr>
          <w:top w:color="auto" w:space="0" w:sz="0" w:val="none"/>
          <w:bottom w:color="auto" w:space="0" w:sz="0" w:val="none"/>
          <w:between w:color="auto" w:space="0" w:sz="0" w:val="none"/>
        </w:pBdr>
        <w:ind w:left="720" w:hanging="360"/>
        <w:rPr>
          <w:sz w:val="22"/>
          <w:szCs w:val="22"/>
        </w:rPr>
      </w:pPr>
      <w:r w:rsidDel="00000000" w:rsidR="00000000" w:rsidRPr="00000000">
        <w:rPr>
          <w:sz w:val="22"/>
          <w:szCs w:val="22"/>
          <w:rtl w:val="0"/>
        </w:rPr>
        <w:t xml:space="preserve">If there is a possibility that the role may not be filled internally and open searches externally might be necessary, this will be communicated upfront to set clear expectations.</w:t>
      </w:r>
    </w:p>
    <w:p w:rsidR="00000000" w:rsidDel="00000000" w:rsidP="00000000" w:rsidRDefault="00000000" w:rsidRPr="00000000" w14:paraId="00000018">
      <w:pPr>
        <w:numPr>
          <w:ilvl w:val="0"/>
          <w:numId w:val="1"/>
        </w:numPr>
        <w:pBdr>
          <w:top w:color="auto" w:space="0" w:sz="0" w:val="none"/>
          <w:bottom w:color="auto" w:space="0" w:sz="0" w:val="none"/>
          <w:between w:color="auto" w:space="0" w:sz="0" w:val="none"/>
        </w:pBdr>
        <w:ind w:left="720" w:hanging="360"/>
        <w:rPr>
          <w:sz w:val="22"/>
          <w:szCs w:val="22"/>
        </w:rPr>
      </w:pPr>
      <w:r w:rsidDel="00000000" w:rsidR="00000000" w:rsidRPr="00000000">
        <w:rPr>
          <w:sz w:val="22"/>
          <w:szCs w:val="22"/>
          <w:rtl w:val="0"/>
        </w:rPr>
        <w:t xml:space="preserve">All applications will be assessed using rubrics and scorecards to ensure consistent and objective evaluation at every stage.</w:t>
      </w:r>
    </w:p>
    <w:p w:rsidR="00000000" w:rsidDel="00000000" w:rsidP="00000000" w:rsidRDefault="00000000" w:rsidRPr="00000000" w14:paraId="00000019">
      <w:pPr>
        <w:numPr>
          <w:ilvl w:val="0"/>
          <w:numId w:val="1"/>
        </w:numPr>
        <w:ind w:left="720" w:hanging="360"/>
        <w:rPr>
          <w:sz w:val="22"/>
          <w:szCs w:val="22"/>
        </w:rPr>
      </w:pPr>
      <w:r w:rsidDel="00000000" w:rsidR="00000000" w:rsidRPr="00000000">
        <w:rPr>
          <w:sz w:val="22"/>
          <w:szCs w:val="22"/>
          <w:rtl w:val="0"/>
        </w:rPr>
        <w:t xml:space="preserve">A compensation change is not guaranteed moving into a new position. Current comp-ratio in addition to leveling, location, tenure, and last compensation change are factors when evaluating a compensation adjustment.</w:t>
      </w:r>
    </w:p>
    <w:p w:rsidR="00000000" w:rsidDel="00000000" w:rsidP="00000000" w:rsidRDefault="00000000" w:rsidRPr="00000000" w14:paraId="0000001A">
      <w:pPr>
        <w:numPr>
          <w:ilvl w:val="0"/>
          <w:numId w:val="1"/>
        </w:numPr>
        <w:pBdr>
          <w:top w:color="auto" w:space="0" w:sz="0" w:val="none"/>
          <w:bottom w:color="auto" w:space="0" w:sz="0" w:val="none"/>
          <w:between w:color="auto" w:space="0" w:sz="0" w:val="none"/>
        </w:pBdr>
        <w:ind w:left="720" w:hanging="360"/>
        <w:rPr>
          <w:sz w:val="22"/>
          <w:szCs w:val="22"/>
        </w:rPr>
      </w:pPr>
      <w:r w:rsidDel="00000000" w:rsidR="00000000" w:rsidRPr="00000000">
        <w:rPr>
          <w:sz w:val="22"/>
          <w:szCs w:val="22"/>
          <w:rtl w:val="0"/>
        </w:rPr>
        <w:t xml:space="preserve">Employees will be required to communicate interest to their manager prior to submitting a formal application.</w:t>
      </w:r>
      <w:r w:rsidDel="00000000" w:rsidR="00000000" w:rsidRPr="00000000">
        <w:rPr>
          <w:rtl w:val="0"/>
        </w:rPr>
      </w:r>
    </w:p>
    <w:p w:rsidR="00000000" w:rsidDel="00000000" w:rsidP="00000000" w:rsidRDefault="00000000" w:rsidRPr="00000000" w14:paraId="0000001B">
      <w:pPr>
        <w:numPr>
          <w:ilvl w:val="0"/>
          <w:numId w:val="1"/>
        </w:numPr>
        <w:pBdr>
          <w:top w:color="auto" w:space="0" w:sz="0" w:val="none"/>
          <w:bottom w:color="auto" w:space="0" w:sz="0" w:val="none"/>
          <w:between w:color="auto" w:space="0" w:sz="0" w:val="none"/>
        </w:pBdr>
        <w:ind w:left="720" w:hanging="360"/>
        <w:rPr>
          <w:sz w:val="22"/>
          <w:szCs w:val="22"/>
        </w:rPr>
      </w:pPr>
      <w:r w:rsidDel="00000000" w:rsidR="00000000" w:rsidRPr="00000000">
        <w:rPr>
          <w:sz w:val="22"/>
          <w:szCs w:val="22"/>
          <w:rtl w:val="0"/>
        </w:rPr>
        <w:t xml:space="preserve">Following each role’s closure, an employee survey will be triggered to gather insights on the mobility process and highlight opportunities for enhancement.</w:t>
      </w:r>
    </w:p>
    <w:p w:rsidR="00000000" w:rsidDel="00000000" w:rsidP="00000000" w:rsidRDefault="00000000" w:rsidRPr="00000000" w14:paraId="0000001C">
      <w:pPr>
        <w:numPr>
          <w:ilvl w:val="0"/>
          <w:numId w:val="1"/>
        </w:numPr>
        <w:pBdr>
          <w:top w:color="auto" w:space="0" w:sz="0" w:val="none"/>
          <w:bottom w:color="auto" w:space="0" w:sz="0" w:val="none"/>
          <w:between w:color="auto" w:space="0" w:sz="0" w:val="none"/>
        </w:pBdr>
        <w:ind w:left="720" w:hanging="360"/>
        <w:rPr>
          <w:sz w:val="22"/>
          <w:szCs w:val="22"/>
          <w:u w:val="none"/>
        </w:rPr>
      </w:pPr>
      <w:r w:rsidDel="00000000" w:rsidR="00000000" w:rsidRPr="00000000">
        <w:rPr>
          <w:sz w:val="22"/>
          <w:szCs w:val="22"/>
          <w:rtl w:val="0"/>
        </w:rPr>
        <w:t xml:space="preserve">Note: If you are not chosen for the role, rejections will be shared through various modes of communication depending on the stage in the process. </w:t>
      </w:r>
    </w:p>
    <w:p w:rsidR="00000000" w:rsidDel="00000000" w:rsidP="00000000" w:rsidRDefault="00000000" w:rsidRPr="00000000" w14:paraId="0000001D">
      <w:pPr>
        <w:numPr>
          <w:ilvl w:val="1"/>
          <w:numId w:val="1"/>
        </w:numPr>
        <w:pBdr>
          <w:top w:color="auto" w:space="0" w:sz="0" w:val="none"/>
          <w:bottom w:color="auto" w:space="0" w:sz="0" w:val="none"/>
          <w:between w:color="auto" w:space="0" w:sz="0" w:val="none"/>
        </w:pBdr>
        <w:ind w:left="1440" w:hanging="360"/>
        <w:rPr>
          <w:sz w:val="22"/>
          <w:szCs w:val="22"/>
          <w:u w:val="none"/>
        </w:rPr>
      </w:pPr>
      <w:r w:rsidDel="00000000" w:rsidR="00000000" w:rsidRPr="00000000">
        <w:rPr>
          <w:sz w:val="22"/>
          <w:szCs w:val="22"/>
          <w:rtl w:val="0"/>
        </w:rPr>
        <w:t xml:space="preserve">Application Review: Email </w:t>
      </w:r>
    </w:p>
    <w:p w:rsidR="00000000" w:rsidDel="00000000" w:rsidP="00000000" w:rsidRDefault="00000000" w:rsidRPr="00000000" w14:paraId="0000001E">
      <w:pPr>
        <w:numPr>
          <w:ilvl w:val="1"/>
          <w:numId w:val="1"/>
        </w:numPr>
        <w:pBdr>
          <w:top w:color="auto" w:space="0" w:sz="0" w:val="none"/>
          <w:bottom w:color="auto" w:space="0" w:sz="0" w:val="none"/>
          <w:between w:color="auto" w:space="0" w:sz="0" w:val="none"/>
        </w:pBdr>
        <w:ind w:left="1440" w:hanging="360"/>
        <w:rPr>
          <w:sz w:val="22"/>
          <w:szCs w:val="22"/>
          <w:u w:val="none"/>
        </w:rPr>
      </w:pPr>
      <w:r w:rsidDel="00000000" w:rsidR="00000000" w:rsidRPr="00000000">
        <w:rPr>
          <w:sz w:val="22"/>
          <w:szCs w:val="22"/>
          <w:rtl w:val="0"/>
        </w:rPr>
        <w:t xml:space="preserve">Recruiter Screen: Email </w:t>
      </w:r>
    </w:p>
    <w:p w:rsidR="00000000" w:rsidDel="00000000" w:rsidP="00000000" w:rsidRDefault="00000000" w:rsidRPr="00000000" w14:paraId="0000001F">
      <w:pPr>
        <w:numPr>
          <w:ilvl w:val="1"/>
          <w:numId w:val="1"/>
        </w:numPr>
        <w:pBdr>
          <w:top w:color="auto" w:space="0" w:sz="0" w:val="none"/>
          <w:bottom w:color="auto" w:space="0" w:sz="0" w:val="none"/>
          <w:between w:color="auto" w:space="0" w:sz="0" w:val="none"/>
        </w:pBdr>
        <w:ind w:left="1440" w:hanging="360"/>
        <w:rPr>
          <w:sz w:val="22"/>
          <w:szCs w:val="22"/>
          <w:u w:val="none"/>
        </w:rPr>
      </w:pPr>
      <w:r w:rsidDel="00000000" w:rsidR="00000000" w:rsidRPr="00000000">
        <w:rPr>
          <w:sz w:val="22"/>
          <w:szCs w:val="22"/>
          <w:rtl w:val="0"/>
        </w:rPr>
        <w:t xml:space="preserve">Hiring Manager Screen: Email or Phone Call, if a Phone Call is made then a follow up email will be sent for documentation purposes</w:t>
      </w:r>
    </w:p>
    <w:p w:rsidR="00000000" w:rsidDel="00000000" w:rsidP="00000000" w:rsidRDefault="00000000" w:rsidRPr="00000000" w14:paraId="00000020">
      <w:pPr>
        <w:numPr>
          <w:ilvl w:val="1"/>
          <w:numId w:val="1"/>
        </w:numPr>
        <w:pBdr>
          <w:top w:color="auto" w:space="0" w:sz="0" w:val="none"/>
          <w:bottom w:color="auto" w:space="0" w:sz="0" w:val="none"/>
          <w:between w:color="auto" w:space="0" w:sz="0" w:val="none"/>
        </w:pBdr>
        <w:ind w:left="1440" w:hanging="360"/>
        <w:rPr>
          <w:sz w:val="22"/>
          <w:szCs w:val="22"/>
          <w:u w:val="none"/>
        </w:rPr>
      </w:pPr>
      <w:r w:rsidDel="00000000" w:rsidR="00000000" w:rsidRPr="00000000">
        <w:rPr>
          <w:sz w:val="22"/>
          <w:szCs w:val="22"/>
          <w:rtl w:val="0"/>
        </w:rPr>
        <w:t xml:space="preserve">Panel Interview(s): Phone/Video call with Hiring Manager + follow up email for documentation purposes</w:t>
      </w:r>
    </w:p>
    <w:p w:rsidR="00000000" w:rsidDel="00000000" w:rsidP="00000000" w:rsidRDefault="00000000" w:rsidRPr="00000000" w14:paraId="00000021">
      <w:pPr>
        <w:numPr>
          <w:ilvl w:val="1"/>
          <w:numId w:val="1"/>
        </w:numPr>
        <w:pBdr>
          <w:top w:color="auto" w:space="0" w:sz="0" w:val="none"/>
          <w:bottom w:color="auto" w:space="0" w:sz="0" w:val="none"/>
          <w:between w:color="auto" w:space="0" w:sz="0" w:val="none"/>
        </w:pBdr>
        <w:ind w:left="1440" w:hanging="360"/>
        <w:rPr>
          <w:sz w:val="22"/>
          <w:szCs w:val="22"/>
          <w:u w:val="none"/>
        </w:rPr>
      </w:pPr>
      <w:r w:rsidDel="00000000" w:rsidR="00000000" w:rsidRPr="00000000">
        <w:rPr>
          <w:sz w:val="22"/>
          <w:szCs w:val="22"/>
          <w:rtl w:val="0"/>
        </w:rPr>
        <w:t xml:space="preserve">Final Interview: Phone/Video call with Hiring Manager or Interviewer + follow up email for documentation purposes</w:t>
      </w: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rPr/>
    </w:pPr>
    <w:r w:rsidDel="00000000" w:rsidR="00000000" w:rsidRPr="00000000">
      <w:rPr/>
      <w:drawing>
        <wp:inline distB="114300" distT="114300" distL="114300" distR="114300">
          <wp:extent cx="947738" cy="224274"/>
          <wp:effectExtent b="0" l="0" r="0" t="0"/>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947738" cy="224274"/>
                  </a:xfrm>
                  <a:prstGeom prst="rect"/>
                  <a:ln/>
                </pic:spPr>
              </pic:pic>
            </a:graphicData>
          </a:graphic>
        </wp:inline>
      </w:drawing>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spacing w:after="200" w:line="240" w:lineRule="auto"/>
      <w:jc w:val="center"/>
      <w:rPr/>
    </w:pPr>
    <w:r w:rsidDel="00000000" w:rsidR="00000000" w:rsidRPr="00000000">
      <w:rPr>
        <w:rFonts w:ascii="Proxima Nova" w:cs="Proxima Nova" w:eastAsia="Proxima Nova" w:hAnsi="Proxima Nova"/>
        <w:color w:val="353744"/>
      </w:rPr>
      <w:drawing>
        <wp:inline distB="114300" distT="114300" distL="114300" distR="114300">
          <wp:extent cx="5943600" cy="45720"/>
          <wp:effectExtent b="0" l="0" r="0" t="0"/>
          <wp:docPr descr="horizontal line" id="1" name="image1.png"/>
          <a:graphic>
            <a:graphicData uri="http://schemas.openxmlformats.org/drawingml/2006/picture">
              <pic:pic>
                <pic:nvPicPr>
                  <pic:cNvPr descr="horizontal line" id="0" name="image1.png"/>
                  <pic:cNvPicPr preferRelativeResize="0"/>
                </pic:nvPicPr>
                <pic:blipFill>
                  <a:blip r:embed="rId1"/>
                  <a:srcRect b="0" l="9794" r="9794" t="0"/>
                  <a:stretch>
                    <a:fillRect/>
                  </a:stretch>
                </pic:blipFill>
                <pic:spPr>
                  <a:xfrm>
                    <a:off x="0" y="0"/>
                    <a:ext cx="5943600" cy="4572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pPr>
    <w:r w:rsidDel="00000000" w:rsidR="00000000" w:rsidRPr="00000000">
      <w:rPr/>
      <w:drawing>
        <wp:inline distB="114300" distT="114300" distL="114300" distR="114300">
          <wp:extent cx="1243013" cy="295955"/>
          <wp:effectExtent b="0" l="0" r="0" t="0"/>
          <wp:docPr id="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243013" cy="29595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30" w:line="288" w:lineRule="auto"/>
    </w:pPr>
    <w:rPr>
      <w:rFonts w:ascii="Inter Medium" w:cs="Inter Medium" w:eastAsia="Inter Medium" w:hAnsi="Inter Medium"/>
      <w:sz w:val="32"/>
      <w:szCs w:val="32"/>
    </w:rPr>
  </w:style>
  <w:style w:type="paragraph" w:styleId="Heading2">
    <w:name w:val="heading 2"/>
    <w:basedOn w:val="Normal"/>
    <w:next w:val="Normal"/>
    <w:pPr>
      <w:keepNext w:val="1"/>
      <w:keepLines w:val="1"/>
      <w:spacing w:after="30" w:line="288" w:lineRule="auto"/>
    </w:pPr>
    <w:rPr>
      <w:rFonts w:ascii="Inter Medium" w:cs="Inter Medium" w:eastAsia="Inter Medium" w:hAnsi="Inter Medium"/>
      <w:color w:val="999999"/>
      <w:sz w:val="22"/>
      <w:szCs w:val="2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rFonts w:ascii="Inter Medium" w:cs="Inter Medium" w:eastAsia="Inter Medium" w:hAnsi="Inter Medium"/>
      <w:sz w:val="52"/>
      <w:szCs w:val="52"/>
    </w:rPr>
  </w:style>
  <w:style w:type="paragraph" w:styleId="Subtitle">
    <w:name w:val="Subtitle"/>
    <w:basedOn w:val="Normal"/>
    <w:next w:val="Normal"/>
    <w:pPr>
      <w:keepNext w:val="1"/>
      <w:keepLines w:val="1"/>
    </w:pPr>
    <w:rPr>
      <w:rFonts w:ascii="Inter" w:cs="Inter" w:eastAsia="Inter" w:hAnsi="Inter"/>
      <w:color w:val="999999"/>
      <w:sz w:val="20"/>
      <w:szCs w:val="2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11" Type="http://schemas.openxmlformats.org/officeDocument/2006/relationships/font" Target="fonts/InterMedium-italic.ttf"/><Relationship Id="rId10" Type="http://schemas.openxmlformats.org/officeDocument/2006/relationships/font" Target="fonts/InterMedium-bold.ttf"/><Relationship Id="rId12" Type="http://schemas.openxmlformats.org/officeDocument/2006/relationships/font" Target="fonts/InterMedium-boldItalic.ttf"/><Relationship Id="rId9" Type="http://schemas.openxmlformats.org/officeDocument/2006/relationships/font" Target="fonts/InterMedium-regular.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