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uryibubbzss3"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International Travel Policy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2"/>
          <w:szCs w:val="22"/>
          <w:highlight w:val="white"/>
        </w:rPr>
      </w:pPr>
      <w:r w:rsidDel="00000000" w:rsidR="00000000" w:rsidRPr="00000000">
        <w:rPr>
          <w:sz w:val="22"/>
          <w:szCs w:val="22"/>
          <w:rtl w:val="0"/>
        </w:rPr>
        <w:t xml:space="preserve">Since 2020, we have been living in unprecedented times. We understand the desire to travel and/or work remotely. However, for</w:t>
      </w:r>
      <w:hyperlink r:id="rId6">
        <w:r w:rsidDel="00000000" w:rsidR="00000000" w:rsidRPr="00000000">
          <w:rPr>
            <w:color w:val="1155cc"/>
            <w:sz w:val="22"/>
            <w:szCs w:val="22"/>
            <w:u w:val="single"/>
            <w:rtl w:val="0"/>
          </w:rPr>
          <w:t xml:space="preserve"> many reasons</w:t>
        </w:r>
      </w:hyperlink>
      <w:r w:rsidDel="00000000" w:rsidR="00000000" w:rsidRPr="00000000">
        <w:rPr>
          <w:sz w:val="22"/>
          <w:szCs w:val="22"/>
          <w:rtl w:val="0"/>
        </w:rPr>
        <w:t xml:space="preserve"> (</w:t>
      </w:r>
      <w:r w:rsidDel="00000000" w:rsidR="00000000" w:rsidRPr="00000000">
        <w:rPr>
          <w:sz w:val="22"/>
          <w:szCs w:val="22"/>
          <w:highlight w:val="white"/>
          <w:rtl w:val="0"/>
        </w:rPr>
        <w:t xml:space="preserve">employment law, immigration, insurance, permanent establishment, equity and tax considerations), we </w:t>
      </w:r>
      <w:r w:rsidDel="00000000" w:rsidR="00000000" w:rsidRPr="00000000">
        <w:rPr>
          <w:i w:val="1"/>
          <w:iCs w:val="1"/>
          <w:sz w:val="22"/>
          <w:szCs w:val="22"/>
          <w:highlight w:val="white"/>
          <w:rtl w:val="0"/>
        </w:rPr>
        <w:t xml:space="preserve">cannot</w:t>
      </w:r>
      <w:r w:rsidDel="00000000" w:rsidR="00000000" w:rsidRPr="00000000">
        <w:rPr>
          <w:sz w:val="22"/>
          <w:szCs w:val="22"/>
          <w:highlight w:val="white"/>
          <w:rtl w:val="0"/>
        </w:rPr>
        <w:t xml:space="preserve"> support work overseas for a lengthy period of time. This is not unique to Mainstay, or unusual, for any US-based company.   </w:t>
      </w:r>
    </w:p>
    <w:p w:rsidR="00000000" w:rsidDel="00000000" w:rsidP="00000000" w:rsidRDefault="00000000" w:rsidRPr="00000000" w14:paraId="00000005">
      <w:pPr>
        <w:rPr>
          <w:sz w:val="22"/>
          <w:szCs w:val="22"/>
          <w:highlight w:val="white"/>
        </w:rPr>
      </w:pPr>
      <w:r w:rsidDel="00000000" w:rsidR="00000000" w:rsidRPr="00000000">
        <w:rPr>
          <w:rtl w:val="0"/>
        </w:rPr>
      </w:r>
    </w:p>
    <w:p w:rsidR="00000000" w:rsidDel="00000000" w:rsidP="00000000" w:rsidRDefault="00000000" w:rsidRPr="00000000" w14:paraId="00000006">
      <w:pPr>
        <w:rPr>
          <w:sz w:val="22"/>
          <w:szCs w:val="22"/>
          <w:highlight w:val="white"/>
        </w:rPr>
      </w:pPr>
      <w:r w:rsidDel="00000000" w:rsidR="00000000" w:rsidRPr="00000000">
        <w:rPr>
          <w:sz w:val="22"/>
          <w:szCs w:val="22"/>
          <w:highlight w:val="white"/>
          <w:rtl w:val="0"/>
        </w:rPr>
        <w:t xml:space="preserve">We understand you may need to travel internationally and encourage taking time off, leveraging PTO, and disconnecting. Additionally, we also have Leave of Absence policies and programs, to support you, if needed.  If you need to take your laptop with you, please check with IT for any security concerns. Otherwise, the guidance is spending </w:t>
      </w:r>
      <w:r w:rsidDel="00000000" w:rsidR="00000000" w:rsidRPr="00000000">
        <w:rPr>
          <w:i w:val="1"/>
          <w:iCs w:val="1"/>
          <w:sz w:val="22"/>
          <w:szCs w:val="22"/>
          <w:highlight w:val="white"/>
          <w:rtl w:val="0"/>
        </w:rPr>
        <w:t xml:space="preserve">no more </w:t>
      </w:r>
      <w:r w:rsidDel="00000000" w:rsidR="00000000" w:rsidRPr="00000000">
        <w:rPr>
          <w:sz w:val="22"/>
          <w:szCs w:val="22"/>
          <w:highlight w:val="white"/>
          <w:rtl w:val="0"/>
        </w:rPr>
        <w:t xml:space="preserve">than 2 weeks per 12 rolling months overseas for “work”.</w:t>
      </w:r>
    </w:p>
    <w:p w:rsidR="00000000" w:rsidDel="00000000" w:rsidP="00000000" w:rsidRDefault="00000000" w:rsidRPr="00000000" w14:paraId="00000007">
      <w:pPr>
        <w:rPr>
          <w:sz w:val="22"/>
          <w:szCs w:val="22"/>
          <w:highlight w:val="white"/>
        </w:rPr>
      </w:pPr>
      <w:r w:rsidDel="00000000" w:rsidR="00000000" w:rsidRPr="00000000">
        <w:rPr>
          <w:rtl w:val="0"/>
        </w:rPr>
      </w:r>
    </w:p>
    <w:p w:rsidR="00000000" w:rsidDel="00000000" w:rsidP="00000000" w:rsidRDefault="00000000" w:rsidRPr="00000000" w14:paraId="00000008">
      <w:pPr>
        <w:rPr>
          <w:sz w:val="22"/>
          <w:szCs w:val="22"/>
          <w:highlight w:val="white"/>
        </w:rPr>
      </w:pPr>
      <w:r w:rsidDel="00000000" w:rsidR="00000000" w:rsidRPr="00000000">
        <w:rPr>
          <w:sz w:val="22"/>
          <w:szCs w:val="22"/>
          <w:highlight w:val="white"/>
          <w:rtl w:val="0"/>
        </w:rPr>
        <w:t xml:space="preserve">Please note: Travel to </w:t>
      </w:r>
      <w:hyperlink r:id="rId7">
        <w:r w:rsidDel="00000000" w:rsidR="00000000" w:rsidRPr="00000000">
          <w:rPr>
            <w:color w:val="1155cc"/>
            <w:sz w:val="22"/>
            <w:szCs w:val="22"/>
            <w:highlight w:val="white"/>
            <w:u w:val="single"/>
            <w:rtl w:val="0"/>
          </w:rPr>
          <w:t xml:space="preserve">Russia and China</w:t>
        </w:r>
      </w:hyperlink>
      <w:r w:rsidDel="00000000" w:rsidR="00000000" w:rsidRPr="00000000">
        <w:rPr>
          <w:sz w:val="22"/>
          <w:szCs w:val="22"/>
          <w:highlight w:val="white"/>
          <w:rtl w:val="0"/>
        </w:rPr>
        <w:t xml:space="preserve"> is </w:t>
      </w:r>
      <w:r w:rsidDel="00000000" w:rsidR="00000000" w:rsidRPr="00000000">
        <w:rPr>
          <w:sz w:val="22"/>
          <w:szCs w:val="22"/>
          <w:highlight w:val="white"/>
          <w:rtl w:val="0"/>
        </w:rPr>
        <w:t xml:space="preserve">not</w:t>
      </w:r>
      <w:r w:rsidDel="00000000" w:rsidR="00000000" w:rsidRPr="00000000">
        <w:rPr>
          <w:sz w:val="22"/>
          <w:szCs w:val="22"/>
          <w:highlight w:val="white"/>
          <w:rtl w:val="0"/>
        </w:rPr>
        <w:t xml:space="preserve"> permitted with any Mainstay laptop.</w:t>
      </w:r>
    </w:p>
    <w:p w:rsidR="00000000" w:rsidDel="00000000" w:rsidP="00000000" w:rsidRDefault="00000000" w:rsidRPr="00000000" w14:paraId="00000009">
      <w:pPr>
        <w:rPr>
          <w:color w:val="202124"/>
          <w:sz w:val="22"/>
          <w:szCs w:val="22"/>
          <w:highlight w:val="white"/>
        </w:rPr>
      </w:pPr>
      <w:r w:rsidDel="00000000" w:rsidR="00000000" w:rsidRPr="00000000">
        <w:rPr>
          <w:sz w:val="22"/>
          <w:szCs w:val="22"/>
          <w:highlight w:val="white"/>
          <w:rtl w:val="0"/>
        </w:rPr>
        <w:t xml:space="preserve">Additionally, the below countries do not have VPN accessibility, so advised you not to bring a laptop to:  </w:t>
      </w:r>
      <w:r w:rsidDel="00000000" w:rsidR="00000000" w:rsidRPr="00000000">
        <w:rPr>
          <w:color w:val="202124"/>
          <w:sz w:val="22"/>
          <w:szCs w:val="22"/>
          <w:highlight w:val="white"/>
          <w:rtl w:val="0"/>
        </w:rPr>
        <w:t xml:space="preserve">China, Russia, Iran, United Arab Emirates, Oman, Turkey, Iraq, Turkmenistan, Belarus, North Korea.</w:t>
      </w:r>
    </w:p>
    <w:p w:rsidR="00000000" w:rsidDel="00000000" w:rsidP="00000000" w:rsidRDefault="00000000" w:rsidRPr="00000000" w14:paraId="0000000A">
      <w:pPr>
        <w:rPr>
          <w:color w:val="202124"/>
          <w:sz w:val="22"/>
          <w:szCs w:val="22"/>
          <w:highlight w:val="white"/>
        </w:rPr>
      </w:pPr>
      <w:r w:rsidDel="00000000" w:rsidR="00000000" w:rsidRPr="00000000">
        <w:rPr>
          <w:rtl w:val="0"/>
        </w:rPr>
      </w:r>
    </w:p>
    <w:p w:rsidR="00000000" w:rsidDel="00000000" w:rsidP="00000000" w:rsidRDefault="00000000" w:rsidRPr="00000000" w14:paraId="0000000B">
      <w:pPr>
        <w:rPr>
          <w:color w:val="202124"/>
          <w:sz w:val="22"/>
          <w:szCs w:val="22"/>
          <w:highlight w:val="white"/>
        </w:rPr>
      </w:pPr>
      <w:r w:rsidDel="00000000" w:rsidR="00000000" w:rsidRPr="00000000">
        <w:rPr>
          <w:color w:val="202124"/>
          <w:sz w:val="22"/>
          <w:szCs w:val="22"/>
          <w:highlight w:val="white"/>
          <w:rtl w:val="0"/>
        </w:rPr>
        <w:t xml:space="preserve">For assistance with currency exchange and conversions please visit</w:t>
      </w:r>
      <w:hyperlink r:id="rId8">
        <w:r w:rsidDel="00000000" w:rsidR="00000000" w:rsidRPr="00000000">
          <w:rPr>
            <w:color w:val="1155cc"/>
            <w:sz w:val="22"/>
            <w:szCs w:val="22"/>
            <w:highlight w:val="white"/>
            <w:u w:val="single"/>
            <w:rtl w:val="0"/>
          </w:rPr>
          <w:t xml:space="preserve"> this IRS page. </w:t>
        </w:r>
      </w:hyperlink>
      <w:r w:rsidDel="00000000" w:rsidR="00000000" w:rsidRPr="00000000">
        <w:rPr>
          <w:rtl w:val="0"/>
        </w:rPr>
      </w:r>
    </w:p>
    <w:p w:rsidR="00000000" w:rsidDel="00000000" w:rsidP="00000000" w:rsidRDefault="00000000" w:rsidRPr="00000000" w14:paraId="0000000C">
      <w:pPr>
        <w:rPr>
          <w:color w:val="202124"/>
          <w:sz w:val="22"/>
          <w:szCs w:val="22"/>
          <w:highlight w:val="white"/>
        </w:rPr>
      </w:pPr>
      <w:r w:rsidDel="00000000" w:rsidR="00000000" w:rsidRPr="00000000">
        <w:rPr>
          <w:rtl w:val="0"/>
        </w:rPr>
      </w:r>
    </w:p>
    <w:p w:rsidR="00000000" w:rsidDel="00000000" w:rsidP="00000000" w:rsidRDefault="00000000" w:rsidRPr="00000000" w14:paraId="0000000D">
      <w:pPr>
        <w:rPr>
          <w:color w:val="202124"/>
          <w:sz w:val="22"/>
          <w:szCs w:val="22"/>
          <w:highlight w:val="white"/>
        </w:rPr>
      </w:pPr>
      <w:r w:rsidDel="00000000" w:rsidR="00000000" w:rsidRPr="00000000">
        <w:rPr>
          <w:color w:val="202124"/>
          <w:sz w:val="22"/>
          <w:szCs w:val="22"/>
          <w:highlight w:val="white"/>
          <w:rtl w:val="0"/>
        </w:rPr>
        <w:t xml:space="preserve">For health and safety concerns while traveling view the most updated reports</w:t>
      </w:r>
      <w:hyperlink r:id="rId9">
        <w:r w:rsidDel="00000000" w:rsidR="00000000" w:rsidRPr="00000000">
          <w:rPr>
            <w:color w:val="1155cc"/>
            <w:sz w:val="22"/>
            <w:szCs w:val="22"/>
            <w:highlight w:val="white"/>
            <w:u w:val="single"/>
            <w:rtl w:val="0"/>
          </w:rPr>
          <w:t xml:space="preserve"> here. </w:t>
        </w:r>
      </w:hyperlink>
      <w:r w:rsidDel="00000000" w:rsidR="00000000" w:rsidRPr="00000000">
        <w:rPr>
          <w:rtl w:val="0"/>
        </w:rPr>
      </w:r>
    </w:p>
    <w:p w:rsidR="00000000" w:rsidDel="00000000" w:rsidP="00000000" w:rsidRDefault="00000000" w:rsidRPr="00000000" w14:paraId="0000000E">
      <w:pPr>
        <w:rPr>
          <w:sz w:val="22"/>
          <w:szCs w:val="22"/>
          <w:highlight w:val="white"/>
        </w:rPr>
      </w:pPr>
      <w:r w:rsidDel="00000000" w:rsidR="00000000" w:rsidRPr="00000000">
        <w:rPr>
          <w:rtl w:val="0"/>
        </w:rPr>
      </w:r>
    </w:p>
    <w:p w:rsidR="00000000" w:rsidDel="00000000" w:rsidP="00000000" w:rsidRDefault="00000000" w:rsidRPr="00000000" w14:paraId="0000000F">
      <w:pPr>
        <w:rPr>
          <w:sz w:val="22"/>
          <w:szCs w:val="22"/>
          <w:highlight w:val="white"/>
        </w:rPr>
      </w:pPr>
      <w:r w:rsidDel="00000000" w:rsidR="00000000" w:rsidRPr="00000000">
        <w:rPr>
          <w:sz w:val="22"/>
          <w:szCs w:val="22"/>
          <w:highlight w:val="white"/>
          <w:rtl w:val="0"/>
        </w:rPr>
        <w:t xml:space="preserve">If you will be overseas, please refer to the </w:t>
      </w:r>
      <w:hyperlink r:id="rId10">
        <w:r w:rsidDel="00000000" w:rsidR="00000000" w:rsidRPr="00000000">
          <w:rPr>
            <w:color w:val="1155cc"/>
            <w:sz w:val="22"/>
            <w:szCs w:val="22"/>
            <w:highlight w:val="white"/>
            <w:u w:val="single"/>
            <w:rtl w:val="0"/>
          </w:rPr>
          <w:t xml:space="preserve">State Department Travel Advisory</w:t>
        </w:r>
      </w:hyperlink>
      <w:r w:rsidDel="00000000" w:rsidR="00000000" w:rsidRPr="00000000">
        <w:rPr>
          <w:rtl w:val="0"/>
        </w:rPr>
      </w:r>
    </w:p>
    <w:p w:rsidR="00000000" w:rsidDel="00000000" w:rsidP="00000000" w:rsidRDefault="00000000" w:rsidRPr="00000000" w14:paraId="00000010">
      <w:pPr>
        <w:rPr>
          <w:sz w:val="22"/>
          <w:szCs w:val="22"/>
          <w:highlight w:val="white"/>
        </w:rPr>
      </w:pPr>
      <w:r w:rsidDel="00000000" w:rsidR="00000000" w:rsidRPr="00000000">
        <w:rPr>
          <w:rtl w:val="0"/>
        </w:rPr>
      </w:r>
    </w:p>
    <w:p w:rsidR="00000000" w:rsidDel="00000000" w:rsidP="00000000" w:rsidRDefault="00000000" w:rsidRPr="00000000" w14:paraId="00000011">
      <w:pPr>
        <w:rPr>
          <w:sz w:val="22"/>
          <w:szCs w:val="22"/>
          <w:highlight w:val="white"/>
        </w:rPr>
      </w:pPr>
      <w:r w:rsidDel="00000000" w:rsidR="00000000" w:rsidRPr="00000000">
        <w:rPr>
          <w:sz w:val="22"/>
          <w:szCs w:val="22"/>
          <w:highlight w:val="white"/>
          <w:rtl w:val="0"/>
        </w:rPr>
        <w:t xml:space="preserve">Safe travels!</w:t>
      </w:r>
    </w:p>
    <w:p w:rsidR="00000000" w:rsidDel="00000000" w:rsidP="00000000" w:rsidRDefault="00000000" w:rsidRPr="00000000" w14:paraId="00000012">
      <w:pPr>
        <w:rPr>
          <w:sz w:val="22"/>
          <w:szCs w:val="22"/>
          <w:highlight w:val="white"/>
        </w:rPr>
      </w:pPr>
      <w:r w:rsidDel="00000000" w:rsidR="00000000" w:rsidRPr="00000000">
        <w:rPr>
          <w:rtl w:val="0"/>
        </w:rPr>
      </w:r>
    </w:p>
    <w:p w:rsidR="00000000" w:rsidDel="00000000" w:rsidP="00000000" w:rsidRDefault="00000000" w:rsidRPr="00000000" w14:paraId="00000013">
      <w:pPr>
        <w:spacing w:line="240" w:lineRule="auto"/>
        <w:jc w:val="both"/>
        <w:rPr>
          <w:color w:val="222222"/>
          <w:sz w:val="24"/>
          <w:szCs w:val="24"/>
          <w:highlight w:val="white"/>
        </w:rPr>
      </w:pPr>
      <w:r w:rsidDel="00000000" w:rsidR="00000000" w:rsidRPr="00000000">
        <w:rPr>
          <w:rtl w:val="0"/>
        </w:rPr>
      </w:r>
    </w:p>
    <w:p w:rsidR="00000000" w:rsidDel="00000000" w:rsidP="00000000" w:rsidRDefault="00000000" w:rsidRPr="00000000" w14:paraId="00000014">
      <w:pPr>
        <w:spacing w:after="30" w:line="288"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travel.state.gov/content/travel/en/traveladvisories/traveladvisories.html/"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cdc.gov/travel"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google.com/url?q=https://www.financierworldwide.com/legal-implications-if-an-employee-asks-to-work-abroad%23.YunAeuzMIV_&amp;sa=D&amp;source=docs&amp;ust=1735672075365389&amp;usg=AOvVaw1RywT8jI7glm-m1gt2GD_w" TargetMode="External"/><Relationship Id="rId7" Type="http://schemas.openxmlformats.org/officeDocument/2006/relationships/hyperlink" Target="https://opendoor-intranet--simpplr.visualforce.com/apex/simpplr__app?u=/site/a144x000000yLSAAA2/page/a124x000000iF2aAAE" TargetMode="External"/><Relationship Id="rId8" Type="http://schemas.openxmlformats.org/officeDocument/2006/relationships/hyperlink" Target="https://www.irs.gov/individuals/international-taxpayers/yearly-average-currency-exchange-r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