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0" w:line="288" w:lineRule="auto"/>
        <w:jc w:val="center"/>
        <w:rPr>
          <w:rFonts w:ascii="Inter" w:cs="Inter" w:eastAsia="Inter" w:hAnsi="Inter"/>
          <w:b w:val="1"/>
          <w:bCs w:val="1"/>
          <w:u w:val="single"/>
        </w:rPr>
      </w:pPr>
      <w:bookmarkStart w:colFirst="0" w:colLast="0" w:name="_soryy8utc84f" w:id="0"/>
      <w:bookmarkEnd w:id="0"/>
      <w:r w:rsidDel="00000000" w:rsidR="00000000" w:rsidRPr="00000000">
        <w:rPr>
          <w:rtl w:val="0"/>
        </w:rPr>
      </w:r>
    </w:p>
    <w:p w:rsidR="00000000" w:rsidDel="00000000" w:rsidP="00000000" w:rsidRDefault="00000000" w:rsidRPr="00000000" w14:paraId="00000002">
      <w:pPr>
        <w:pStyle w:val="Title"/>
        <w:spacing w:after="30" w:line="288" w:lineRule="auto"/>
        <w:jc w:val="center"/>
        <w:rPr>
          <w:rFonts w:ascii="Inter" w:cs="Inter" w:eastAsia="Inter" w:hAnsi="Inter"/>
          <w:b w:val="1"/>
          <w:bCs w:val="1"/>
          <w:u w:val="single"/>
        </w:rPr>
      </w:pPr>
      <w:bookmarkStart w:colFirst="0" w:colLast="0" w:name="_mmowuj7qcrtw" w:id="1"/>
      <w:bookmarkEnd w:id="1"/>
      <w:r w:rsidDel="00000000" w:rsidR="00000000" w:rsidRPr="00000000">
        <w:rPr>
          <w:rFonts w:ascii="Inter" w:cs="Inter" w:eastAsia="Inter" w:hAnsi="Inter"/>
          <w:b w:val="1"/>
          <w:bCs w:val="1"/>
          <w:u w:val="single"/>
          <w:rtl w:val="0"/>
        </w:rPr>
        <w:t xml:space="preserve">Jury &amp; Witness Duty Policy</w:t>
      </w:r>
    </w:p>
    <w:p w:rsidR="00000000" w:rsidDel="00000000" w:rsidP="00000000" w:rsidRDefault="00000000" w:rsidRPr="00000000" w14:paraId="00000003">
      <w:pPr>
        <w:spacing w:after="30" w:line="288" w:lineRule="auto"/>
        <w:rPr/>
      </w:pPr>
      <w:r w:rsidDel="00000000" w:rsidR="00000000" w:rsidRPr="00000000">
        <w:rPr>
          <w:rtl w:val="0"/>
        </w:rPr>
      </w:r>
    </w:p>
    <w:p w:rsidR="00000000" w:rsidDel="00000000" w:rsidP="00000000" w:rsidRDefault="00000000" w:rsidRPr="00000000" w14:paraId="00000004">
      <w:pPr>
        <w:spacing w:after="180" w:line="240" w:lineRule="auto"/>
        <w:rPr>
          <w:sz w:val="18"/>
          <w:szCs w:val="18"/>
        </w:rPr>
      </w:pPr>
      <w:r w:rsidDel="00000000" w:rsidR="00000000" w:rsidRPr="00000000">
        <w:rPr>
          <w:sz w:val="22"/>
          <w:szCs w:val="22"/>
          <w:rtl w:val="0"/>
        </w:rPr>
        <w:t xml:space="preserve">To provide income protection while you carry out your civic responsibility, Mainstay will continue your regular pay for a maximum of forty (40) hours during time spent serving on jury duty or acting as a court witness/appearance.  If applicable state law requires Mainstay to continue your regular pay for a period longer than five workdays, the Company will comply with such law.  Any additional jury duty leave that is not required to be paid under this policy or applicable state law will be unpaid.  In addition, exempt employees will continue to receive their full salaries for any weeks in which they perform any work for the Company. </w:t>
      </w:r>
      <w:r w:rsidDel="00000000" w:rsidR="00000000" w:rsidRPr="00000000">
        <w:rPr>
          <w:rtl w:val="0"/>
        </w:rPr>
      </w:r>
    </w:p>
    <w:p w:rsidR="00000000" w:rsidDel="00000000" w:rsidP="00000000" w:rsidRDefault="00000000" w:rsidRPr="00000000" w14:paraId="00000005">
      <w:pPr>
        <w:pStyle w:val="Heading3"/>
        <w:keepNext w:val="0"/>
        <w:keepLines w:val="0"/>
        <w:spacing w:before="280" w:line="240" w:lineRule="auto"/>
        <w:jc w:val="both"/>
        <w:rPr>
          <w:b w:val="1"/>
          <w:bCs w:val="1"/>
          <w:color w:val="000000"/>
          <w:sz w:val="26"/>
          <w:szCs w:val="26"/>
        </w:rPr>
      </w:pPr>
      <w:bookmarkStart w:colFirst="0" w:colLast="0" w:name="_3znysh7" w:id="2"/>
      <w:bookmarkEnd w:id="2"/>
      <w:r w:rsidDel="00000000" w:rsidR="00000000" w:rsidRPr="00000000">
        <w:rPr>
          <w:b w:val="1"/>
          <w:bCs w:val="1"/>
          <w:color w:val="000000"/>
          <w:sz w:val="26"/>
          <w:szCs w:val="26"/>
          <w:rtl w:val="0"/>
        </w:rPr>
        <w:t xml:space="preserve">Eligibility</w:t>
      </w:r>
    </w:p>
    <w:p w:rsidR="00000000" w:rsidDel="00000000" w:rsidP="00000000" w:rsidRDefault="00000000" w:rsidRPr="00000000" w14:paraId="00000006">
      <w:pPr>
        <w:spacing w:after="180" w:line="240" w:lineRule="auto"/>
        <w:jc w:val="both"/>
        <w:rPr>
          <w:sz w:val="22"/>
          <w:szCs w:val="22"/>
        </w:rPr>
      </w:pPr>
      <w:r w:rsidDel="00000000" w:rsidR="00000000" w:rsidRPr="00000000">
        <w:rPr>
          <w:sz w:val="22"/>
          <w:szCs w:val="22"/>
          <w:rtl w:val="0"/>
        </w:rPr>
        <w:t xml:space="preserve">Regular full-time and part-time employees are eligible to receive this benefit. </w:t>
      </w:r>
    </w:p>
    <w:p w:rsidR="00000000" w:rsidDel="00000000" w:rsidP="00000000" w:rsidRDefault="00000000" w:rsidRPr="00000000" w14:paraId="00000007">
      <w:pPr>
        <w:pStyle w:val="Heading3"/>
        <w:keepNext w:val="0"/>
        <w:keepLines w:val="0"/>
        <w:spacing w:before="280" w:line="240" w:lineRule="auto"/>
        <w:jc w:val="both"/>
        <w:rPr>
          <w:b w:val="1"/>
          <w:bCs w:val="1"/>
          <w:color w:val="000000"/>
          <w:sz w:val="26"/>
          <w:szCs w:val="26"/>
        </w:rPr>
      </w:pPr>
      <w:bookmarkStart w:colFirst="0" w:colLast="0" w:name="_2et92p0" w:id="3"/>
      <w:bookmarkEnd w:id="3"/>
      <w:r w:rsidDel="00000000" w:rsidR="00000000" w:rsidRPr="00000000">
        <w:rPr>
          <w:b w:val="1"/>
          <w:bCs w:val="1"/>
          <w:color w:val="000000"/>
          <w:sz w:val="26"/>
          <w:szCs w:val="26"/>
          <w:rtl w:val="0"/>
        </w:rPr>
        <w:t xml:space="preserve">Responsibility</w:t>
      </w:r>
    </w:p>
    <w:p w:rsidR="00000000" w:rsidDel="00000000" w:rsidP="00000000" w:rsidRDefault="00000000" w:rsidRPr="00000000" w14:paraId="00000008">
      <w:pPr>
        <w:spacing w:after="180" w:line="240" w:lineRule="auto"/>
        <w:jc w:val="both"/>
        <w:rPr>
          <w:sz w:val="22"/>
          <w:szCs w:val="22"/>
        </w:rPr>
      </w:pPr>
      <w:r w:rsidDel="00000000" w:rsidR="00000000" w:rsidRPr="00000000">
        <w:rPr>
          <w:sz w:val="22"/>
          <w:szCs w:val="22"/>
          <w:rtl w:val="0"/>
        </w:rPr>
        <w:t xml:space="preserve">Upon receipt of notification from the state or federal courts of an obligation to serve on a jury or to act as a court witness, you should notify your manager &amp; People Team by providing copies of the subpoena or jury summons. </w:t>
      </w:r>
    </w:p>
    <w:p w:rsidR="00000000" w:rsidDel="00000000" w:rsidP="00000000" w:rsidRDefault="00000000" w:rsidRPr="00000000" w14:paraId="00000009">
      <w:pPr>
        <w:spacing w:after="180" w:line="240" w:lineRule="auto"/>
        <w:jc w:val="both"/>
        <w:rPr>
          <w:sz w:val="22"/>
          <w:szCs w:val="22"/>
        </w:rPr>
      </w:pPr>
      <w:r w:rsidDel="00000000" w:rsidR="00000000" w:rsidRPr="00000000">
        <w:rPr>
          <w:sz w:val="22"/>
          <w:szCs w:val="22"/>
          <w:rtl w:val="0"/>
        </w:rPr>
        <w:t xml:space="preserve">Once the People Team receives your documentation they will input the hours into Rippling on your behalf and save any documentation in your Rippling profile. </w:t>
      </w:r>
    </w:p>
    <w:p w:rsidR="00000000" w:rsidDel="00000000" w:rsidP="00000000" w:rsidRDefault="00000000" w:rsidRPr="00000000" w14:paraId="0000000A">
      <w:pPr>
        <w:spacing w:after="180" w:line="240" w:lineRule="auto"/>
        <w:jc w:val="both"/>
        <w:rPr>
          <w:sz w:val="22"/>
          <w:szCs w:val="22"/>
        </w:rPr>
      </w:pPr>
      <w:r w:rsidDel="00000000" w:rsidR="00000000" w:rsidRPr="00000000">
        <w:rPr>
          <w:sz w:val="22"/>
          <w:szCs w:val="22"/>
          <w:rtl w:val="0"/>
        </w:rPr>
        <w:t xml:space="preserve">Employees appearing in their own case as a plaintiff or defendant or for a non-subpoenaed court appearance will not receive paid time off.  Flex Time Off, PTO or unpaid time should be used for such instances. Certain states have legislative leave, if that is the case Opendoor will abide by the local state law.</w:t>
      </w:r>
    </w:p>
    <w:p w:rsidR="00000000" w:rsidDel="00000000" w:rsidP="00000000" w:rsidRDefault="00000000" w:rsidRPr="00000000" w14:paraId="0000000B">
      <w:pPr>
        <w:spacing w:after="180" w:line="240" w:lineRule="auto"/>
        <w:jc w:val="both"/>
        <w:rPr>
          <w:sz w:val="22"/>
          <w:szCs w:val="22"/>
        </w:rPr>
      </w:pPr>
      <w:r w:rsidDel="00000000" w:rsidR="00000000" w:rsidRPr="00000000">
        <w:rPr>
          <w:sz w:val="22"/>
          <w:szCs w:val="22"/>
          <w:rtl w:val="0"/>
        </w:rPr>
        <w:t xml:space="preserve">The Company shall not discharge, discipline or otherwise penalize an employee because the employee is absent for the purpose of attending jury duty or if the employee is absent for the purpose of attending a judicial proceeding in response to a subpoena or other court order or process which requires the attendance of the employee at the judicial proceeding, provided that the employee gives advance notice to the Company of the expected absence to the extent permitted by applicable law.  The provisions of this section do not apply if you are absent from work to attend a judicial proceeding as a criminal defendant.</w:t>
      </w:r>
    </w:p>
    <w:p w:rsidR="00000000" w:rsidDel="00000000" w:rsidP="00000000" w:rsidRDefault="00000000" w:rsidRPr="00000000" w14:paraId="0000000C">
      <w:pPr>
        <w:spacing w:after="180" w:line="240" w:lineRule="auto"/>
        <w:jc w:val="both"/>
        <w:rPr>
          <w:sz w:val="22"/>
          <w:szCs w:val="22"/>
        </w:rPr>
      </w:pPr>
      <w:r w:rsidDel="00000000" w:rsidR="00000000" w:rsidRPr="00000000">
        <w:rPr>
          <w:rtl w:val="0"/>
        </w:rPr>
      </w:r>
    </w:p>
    <w:p w:rsidR="00000000" w:rsidDel="00000000" w:rsidP="00000000" w:rsidRDefault="00000000" w:rsidRPr="00000000" w14:paraId="0000000D">
      <w:pPr>
        <w:spacing w:line="240" w:lineRule="auto"/>
        <w:jc w:val="right"/>
        <w:rPr>
          <w:sz w:val="16"/>
          <w:szCs w:val="16"/>
        </w:rPr>
      </w:pPr>
      <w:r w:rsidDel="00000000" w:rsidR="00000000" w:rsidRPr="00000000">
        <w:rPr>
          <w:rtl w:val="0"/>
        </w:rPr>
      </w:r>
    </w:p>
    <w:p w:rsidR="00000000" w:rsidDel="00000000" w:rsidP="00000000" w:rsidRDefault="00000000" w:rsidRPr="00000000" w14:paraId="0000000E">
      <w:pPr>
        <w:spacing w:line="240" w:lineRule="auto"/>
        <w:jc w:val="right"/>
        <w:rPr>
          <w:sz w:val="16"/>
          <w:szCs w:val="16"/>
        </w:rPr>
      </w:pPr>
      <w:r w:rsidDel="00000000" w:rsidR="00000000" w:rsidRPr="00000000">
        <w:rPr>
          <w:rtl w:val="0"/>
        </w:rPr>
      </w:r>
    </w:p>
    <w:p w:rsidR="00000000" w:rsidDel="00000000" w:rsidP="00000000" w:rsidRDefault="00000000" w:rsidRPr="00000000" w14:paraId="0000000F">
      <w:pPr>
        <w:spacing w:after="30" w:line="288" w:lineRule="auto"/>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rPr/>
    </w:pPr>
    <w:r w:rsidDel="00000000" w:rsidR="00000000" w:rsidRPr="00000000">
      <w:rPr/>
      <w:drawing>
        <wp:inline distB="114300" distT="114300" distL="114300" distR="114300">
          <wp:extent cx="947738" cy="224274"/>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47738" cy="224274"/>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spacing w:after="200" w:line="240" w:lineRule="auto"/>
      <w:jc w:val="center"/>
      <w:rPr/>
    </w:pPr>
    <w:r w:rsidDel="00000000" w:rsidR="00000000" w:rsidRPr="00000000">
      <w:rPr>
        <w:rFonts w:ascii="Proxima Nova" w:cs="Proxima Nova" w:eastAsia="Proxima Nova" w:hAnsi="Proxima Nova"/>
        <w:color w:val="353744"/>
      </w:rPr>
      <w:drawing>
        <wp:inline distB="114300" distT="114300" distL="114300" distR="114300">
          <wp:extent cx="5943600" cy="4572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9794" r="9794" t="0"/>
                  <a:stretch>
                    <a:fillRect/>
                  </a:stretch>
                </pic:blipFill>
                <pic:spPr>
                  <a:xfrm>
                    <a:off x="0" y="0"/>
                    <a:ext cx="5943600" cy="4572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1243013" cy="295955"/>
          <wp:effectExtent b="0" l="0" r="0" t="0"/>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243013" cy="29595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0" w:line="288" w:lineRule="auto"/>
    </w:pPr>
    <w:rPr>
      <w:rFonts w:ascii="Inter Medium" w:cs="Inter Medium" w:eastAsia="Inter Medium" w:hAnsi="Inter Medium"/>
      <w:sz w:val="32"/>
      <w:szCs w:val="32"/>
    </w:rPr>
  </w:style>
  <w:style w:type="paragraph" w:styleId="Heading2">
    <w:name w:val="heading 2"/>
    <w:basedOn w:val="Normal"/>
    <w:next w:val="Normal"/>
    <w:pPr>
      <w:keepNext w:val="1"/>
      <w:keepLines w:val="1"/>
      <w:spacing w:after="30" w:line="288" w:lineRule="auto"/>
    </w:pPr>
    <w:rPr>
      <w:rFonts w:ascii="Inter Medium" w:cs="Inter Medium" w:eastAsia="Inter Medium" w:hAnsi="Inter Medium"/>
      <w:color w:val="999999"/>
      <w:sz w:val="22"/>
      <w:szCs w:val="2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Inter Medium" w:cs="Inter Medium" w:eastAsia="Inter Medium" w:hAnsi="Inter Medium"/>
      <w:sz w:val="52"/>
      <w:szCs w:val="52"/>
    </w:rPr>
  </w:style>
  <w:style w:type="paragraph" w:styleId="Subtitle">
    <w:name w:val="Subtitle"/>
    <w:basedOn w:val="Normal"/>
    <w:next w:val="Normal"/>
    <w:pPr>
      <w:keepNext w:val="1"/>
      <w:keepLines w:val="1"/>
    </w:pPr>
    <w:rPr>
      <w:rFonts w:ascii="Inter" w:cs="Inter" w:eastAsia="Inter" w:hAnsi="Inter"/>
      <w:color w:val="999999"/>
      <w:sz w:val="20"/>
      <w:szCs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