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 w:line="288" w:lineRule="auto"/>
        <w:jc w:val="center"/>
        <w:rPr>
          <w:rFonts w:ascii="Inter" w:cs="Inter" w:eastAsia="Inter" w:hAnsi="Inter"/>
          <w:b w:val="1"/>
          <w:bCs w:val="1"/>
          <w:u w:val="single"/>
        </w:rPr>
      </w:pPr>
      <w:bookmarkStart w:colFirst="0" w:colLast="0" w:name="_9ki1902c8mqd" w:id="0"/>
      <w:bookmarkEnd w:id="0"/>
      <w:r w:rsidDel="00000000" w:rsidR="00000000" w:rsidRPr="00000000">
        <w:rPr>
          <w:rtl w:val="0"/>
        </w:rPr>
      </w:r>
    </w:p>
    <w:p w:rsidR="00000000" w:rsidDel="00000000" w:rsidP="00000000" w:rsidRDefault="00000000" w:rsidRPr="00000000" w14:paraId="00000002">
      <w:pPr>
        <w:pStyle w:val="Title"/>
        <w:spacing w:after="30" w:line="288" w:lineRule="auto"/>
        <w:jc w:val="center"/>
        <w:rPr>
          <w:rFonts w:ascii="Inter" w:cs="Inter" w:eastAsia="Inter" w:hAnsi="Inter"/>
          <w:b w:val="1"/>
          <w:bCs w:val="1"/>
          <w:u w:val="single"/>
        </w:rPr>
      </w:pPr>
      <w:bookmarkStart w:colFirst="0" w:colLast="0" w:name="_mmowuj7qcrtw" w:id="1"/>
      <w:bookmarkEnd w:id="1"/>
      <w:r w:rsidDel="00000000" w:rsidR="00000000" w:rsidRPr="00000000">
        <w:rPr>
          <w:rFonts w:ascii="Inter" w:cs="Inter" w:eastAsia="Inter" w:hAnsi="Inter"/>
          <w:b w:val="1"/>
          <w:bCs w:val="1"/>
          <w:u w:val="single"/>
          <w:rtl w:val="0"/>
        </w:rPr>
        <w:t xml:space="preserve">Work From Home (WFH) Stipend</w:t>
      </w:r>
    </w:p>
    <w:p w:rsidR="00000000" w:rsidDel="00000000" w:rsidP="00000000" w:rsidRDefault="00000000" w:rsidRPr="00000000" w14:paraId="00000003">
      <w:pPr>
        <w:spacing w:after="30" w:line="288" w:lineRule="auto"/>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60" w:lineRule="auto"/>
        <w:jc w:val="center"/>
        <w:rPr>
          <w:sz w:val="24"/>
          <w:szCs w:val="24"/>
        </w:rPr>
      </w:pPr>
      <w:r w:rsidDel="00000000" w:rsidR="00000000" w:rsidRPr="00000000">
        <w:rPr>
          <w:sz w:val="24"/>
          <w:szCs w:val="24"/>
          <w:rtl w:val="0"/>
        </w:rPr>
        <w:t xml:space="preserve">Home sweet home (office)! </w:t>
      </w:r>
      <w:r w:rsidDel="00000000" w:rsidR="00000000" w:rsidRPr="00000000">
        <w:rPr>
          <w:sz w:val="24"/>
          <w:szCs w:val="24"/>
          <w:rtl w:val="0"/>
        </w:rPr>
        <w:t xml:space="preserve">Since we’re a remote-first company, we want every new team member to feel set up for success. As part of your onboarding, you’ll receive a $500 work-from-home stipend to help you outfit your home office, whether that's upgrading your chair, sprucing up your desk, or getting the gear you need to do your best work from day one.</w:t>
      </w:r>
      <w:r w:rsidDel="00000000" w:rsidR="00000000" w:rsidRPr="00000000">
        <w:rPr>
          <w:rtl w:val="0"/>
        </w:rPr>
      </w:r>
    </w:p>
    <w:p w:rsidR="00000000" w:rsidDel="00000000" w:rsidP="00000000" w:rsidRDefault="00000000" w:rsidRPr="00000000" w14:paraId="00000005">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60" w:lineRule="auto"/>
        <w:rPr>
          <w:b w:val="1"/>
          <w:bCs w:val="1"/>
          <w:color w:val="000000"/>
        </w:rPr>
      </w:pPr>
      <w:bookmarkStart w:colFirst="0" w:colLast="0" w:name="_r2bjws3t52sn" w:id="2"/>
      <w:bookmarkEnd w:id="2"/>
      <w:r w:rsidDel="00000000" w:rsidR="00000000" w:rsidRPr="00000000">
        <w:rPr>
          <w:b w:val="1"/>
          <w:bCs w:val="1"/>
          <w:color w:val="000000"/>
          <w:rtl w:val="0"/>
        </w:rPr>
        <w:t xml:space="preserve">Eligibility:</w:t>
      </w: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rFonts w:ascii="Arial" w:cs="Arial" w:eastAsia="Arial" w:hAnsi="Arial"/>
          <w:sz w:val="22"/>
          <w:szCs w:val="22"/>
        </w:rPr>
      </w:pPr>
      <w:r w:rsidDel="00000000" w:rsidR="00000000" w:rsidRPr="00000000">
        <w:rPr>
          <w:sz w:val="22"/>
          <w:szCs w:val="22"/>
          <w:rtl w:val="0"/>
        </w:rPr>
        <w:t xml:space="preserve">All current full-time employees and new hires are eligible for this </w:t>
      </w:r>
      <w:r w:rsidDel="00000000" w:rsidR="00000000" w:rsidRPr="00000000">
        <w:rPr>
          <w:b w:val="1"/>
          <w:bCs w:val="1"/>
          <w:sz w:val="22"/>
          <w:szCs w:val="22"/>
          <w:rtl w:val="0"/>
        </w:rPr>
        <w:t xml:space="preserve">one-time</w:t>
      </w:r>
      <w:r w:rsidDel="00000000" w:rsidR="00000000" w:rsidRPr="00000000">
        <w:rPr>
          <w:sz w:val="22"/>
          <w:szCs w:val="22"/>
          <w:rtl w:val="0"/>
        </w:rPr>
        <w:t xml:space="preserve"> stipend. There is no time limit by which employees need to use the funds during their employment with Mainstay, though you must be actively employed by Mainstay at the time of purchase and remain employed when submitting the expense report in order to be reimbursed. </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ffffff" w:val="clear"/>
        <w:spacing w:after="300" w:before="0" w:beforeAutospacing="0" w:lineRule="auto"/>
        <w:ind w:left="720" w:hanging="360"/>
        <w:rPr>
          <w:sz w:val="22"/>
          <w:szCs w:val="22"/>
        </w:rPr>
      </w:pPr>
      <w:r w:rsidDel="00000000" w:rsidR="00000000" w:rsidRPr="00000000">
        <w:rPr>
          <w:sz w:val="22"/>
          <w:szCs w:val="22"/>
          <w:rtl w:val="0"/>
        </w:rPr>
        <w:t xml:space="preserve">Re-hires are only eligible to redeem the previously unused portion of their stipend. If a re-hire previously exhausted their stipend, they are not eligible for additional reimbursement under this policy. Employees can email payroll@Mainstay.com to request how much of their stipend is remaining.</w:t>
      </w:r>
    </w:p>
    <w:p w:rsidR="00000000" w:rsidDel="00000000" w:rsidP="00000000" w:rsidRDefault="00000000" w:rsidRPr="00000000" w14:paraId="00000008">
      <w:pPr>
        <w:pStyle w:val="Heading3"/>
        <w:pBdr>
          <w:top w:color="auto" w:space="0" w:sz="0" w:val="none"/>
          <w:bottom w:color="auto" w:space="0" w:sz="0" w:val="none"/>
          <w:right w:color="auto" w:space="0" w:sz="0" w:val="none"/>
          <w:between w:color="auto" w:space="0" w:sz="0" w:val="none"/>
        </w:pBdr>
        <w:shd w:fill="ffffff" w:val="clear"/>
        <w:spacing w:after="300" w:before="60" w:lineRule="auto"/>
        <w:rPr>
          <w:b w:val="1"/>
          <w:bCs w:val="1"/>
          <w:color w:val="000000"/>
        </w:rPr>
      </w:pPr>
      <w:bookmarkStart w:colFirst="0" w:colLast="0" w:name="_tvb8bciq0j7p" w:id="3"/>
      <w:bookmarkEnd w:id="3"/>
      <w:r w:rsidDel="00000000" w:rsidR="00000000" w:rsidRPr="00000000">
        <w:rPr>
          <w:b w:val="1"/>
          <w:bCs w:val="1"/>
          <w:color w:val="000000"/>
          <w:rtl w:val="0"/>
        </w:rPr>
        <w:t xml:space="preserve">Restrictions: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sz w:val="22"/>
          <w:szCs w:val="22"/>
        </w:rPr>
      </w:pPr>
      <w:r w:rsidDel="00000000" w:rsidR="00000000" w:rsidRPr="00000000">
        <w:rPr>
          <w:sz w:val="22"/>
          <w:szCs w:val="22"/>
          <w:rtl w:val="0"/>
        </w:rPr>
        <w:t xml:space="preserve">All typical office equipment that you purchased out of pocket such as desks, chairs, monitors, wireless routers, keyboards, etc. are covered by this stipend (Mainstay-issued items and peripherals you’ve previously picked up from the office cannot be expensed).</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2"/>
          <w:szCs w:val="22"/>
        </w:rPr>
      </w:pPr>
      <w:r w:rsidDel="00000000" w:rsidR="00000000" w:rsidRPr="00000000">
        <w:rPr>
          <w:sz w:val="22"/>
          <w:szCs w:val="22"/>
          <w:rtl w:val="0"/>
        </w:rPr>
        <w:t xml:space="preserve">Personal tech items, such as wearables, iPads, video game consoles, and home office decor (like pictures, plants, etc.) are not covered. Please keep your judgment in mind. If you have questions about whether something is covered, please reach out to your manager.</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2"/>
          <w:szCs w:val="22"/>
        </w:rPr>
      </w:pPr>
      <w:r w:rsidDel="00000000" w:rsidR="00000000" w:rsidRPr="00000000">
        <w:rPr>
          <w:sz w:val="22"/>
          <w:szCs w:val="22"/>
          <w:rtl w:val="0"/>
        </w:rPr>
        <w:t xml:space="preserve">Receipts are required for all purchases greater than $25</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300" w:before="0" w:beforeAutospacing="0" w:lineRule="auto"/>
        <w:ind w:left="720" w:hanging="360"/>
        <w:rPr>
          <w:sz w:val="22"/>
          <w:szCs w:val="22"/>
        </w:rPr>
      </w:pPr>
      <w:r w:rsidDel="00000000" w:rsidR="00000000" w:rsidRPr="00000000">
        <w:rPr>
          <w:sz w:val="22"/>
          <w:szCs w:val="22"/>
          <w:rtl w:val="0"/>
        </w:rPr>
        <w:t xml:space="preserve">To access your virtual spend card within Rippling follow </w:t>
      </w:r>
      <w:hyperlink r:id="rId6">
        <w:r w:rsidDel="00000000" w:rsidR="00000000" w:rsidRPr="00000000">
          <w:rPr>
            <w:color w:val="1155cc"/>
            <w:sz w:val="22"/>
            <w:szCs w:val="22"/>
            <w:u w:val="single"/>
            <w:rtl w:val="0"/>
          </w:rPr>
          <w:t xml:space="preserve">these instructions.</w:t>
        </w:r>
      </w:hyperlink>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drawing>
        <wp:inline distB="114300" distT="114300" distL="114300" distR="114300">
          <wp:extent cx="947738" cy="22427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1243013" cy="29595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help.rippling.com/article?articleId=34479440034"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