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val="0"/>
        <w:spacing w:before="900" w:after="360" w:line="288" w:lineRule="auto"/>
        <w:jc w:val="center"/>
        <w:bidi w:val="1"/>
        <w:pBdr>
          <w:top w:val="nil"/>
          <w:left w:val="nil"/>
          <w:bottom w:val="nil"/>
          <w:right w:val="nil"/>
          <w:between w:val="nil"/>
          <w:bar w:val="nil"/>
        </w:pBdr>
      </w:pPr>
      <w:r>
        <w:rPr>
          <w:rFonts w:ascii="Noto Naskh Arabic" w:hAnsi="Noto Naskh Arabic" w:eastAsia="Noto Naskh Arabic" w:cs="Noto Naskh Arabic"/>
          <w:b/>
          <w:color w:val="000000"/>
          <w:sz w:val="48"/>
          <w:rtl w:val="1"/>
        </w:rPr>
        <w:t>گزارش پیشرفت پایان نامه کارشناسی ارشد</w:t>
      </w:r>
    </w:p>
    <w:p>
      <w:pPr>
        <w:keepNext w:val="0"/>
        <w:spacing w:before="0" w:after="560" w:line="348" w:lineRule="auto"/>
        <w:jc w:val="center"/>
        <w:bidi w:val="1"/>
      </w:pPr>
      <w:r>
        <w:rPr>
          <w:rFonts w:ascii="Noto Naskh Arabic" w:hAnsi="Noto Naskh Arabic" w:eastAsia="Noto Naskh Arabic" w:cs="Noto Naskh Arabic"/>
          <w:b/>
          <w:color w:val="000000"/>
          <w:sz w:val="32"/>
          <w:rtl w:val="1"/>
        </w:rPr>
        <w:t>ارائه روش تشخیص حملات DDoS در شبکه های SDN با استفاده از الگوریتم خوشه بندی DBSCAN</w:t>
      </w:r>
    </w:p>
    <w:tbl>
      <w:tblPr>
        <w:tblW w:type="auto" w:w="0"/>
        <w:jc w:val="center"/>
        <w:tblLayout w:type="fixed"/>
        <w:tblLook w:firstColumn="1" w:firstRow="1" w:lastColumn="0" w:lastRow="0" w:noHBand="0" w:noVBand="1" w:val="04A0"/>
        <w:bidiVisual/>
      </w:tblPr>
      <w:tblGrid>
        <w:gridCol w:w="4939"/>
        <w:gridCol w:w="4939"/>
      </w:tblGrid>
      <w:tr>
        <w:tc>
          <w:tcPr>
            <w:tcW w:type="dxa" w:w="2592"/>
            <w:tcMar>
              <w:top w:w="120" w:type="dxa"/>
              <w:start w:w="120" w:type="dxa"/>
              <w:bottom w:w="120" w:type="dxa"/>
              <w:end w:w="120" w:type="dxa"/>
            </w:tcMar>
            <w:tcBorders>
              <w:top w:val="single" w:sz="4" w:color="E6E6E6"/>
              <w:left w:val="single" w:sz="4" w:color="E6E6E6"/>
              <w:bottom w:val="single" w:sz="4" w:color="E6E6E6"/>
              <w:right w:val="single" w:sz="4" w:color="E6E6E6"/>
              <w:insideH w:val="single" w:sz="4" w:color="E6E6E6"/>
              <w:insideV w:val="single" w:sz="4" w:color="E6E6E6"/>
            </w:tcBorders>
            <w:vAlign w:val="center"/>
            <w:shd w:fill="DCE6F1"/>
          </w:tcPr>
          <w:p>
            <w:pPr>
              <w:keepNext w:val="0"/>
              <w:spacing w:before="0" w:after="0" w:line="276" w:lineRule="auto"/>
              <w:jc w:val="center"/>
              <w:bidi w:val="1"/>
            </w:pPr>
            <w:r>
              <w:rPr>
                <w:rFonts w:ascii="Noto Naskh Arabic" w:hAnsi="Noto Naskh Arabic" w:eastAsia="Noto Naskh Arabic" w:cs="Noto Naskh Arabic"/>
                <w:b/>
                <w:color w:val="000000"/>
                <w:sz w:val="23"/>
                <w:rtl w:val="1"/>
              </w:rPr>
              <w:t>دانشجو</w:t>
            </w:r>
          </w:p>
        </w:tc>
        <w:tc>
          <w:tcPr>
            <w:tcW w:type="dxa" w:w="6624"/>
            <w:tcMar>
              <w:top w:w="120" w:type="dxa"/>
              <w:start w:w="120" w:type="dxa"/>
              <w:bottom w:w="120" w:type="dxa"/>
              <w:end w:w="120" w:type="dxa"/>
            </w:tcMar>
            <w:tcBorders>
              <w:top w:val="single" w:sz="4" w:color="E6E6E6"/>
              <w:left w:val="single" w:sz="4" w:color="E6E6E6"/>
              <w:bottom w:val="single" w:sz="4" w:color="E6E6E6"/>
              <w:right w:val="single" w:sz="4" w:color="E6E6E6"/>
              <w:insideH w:val="single" w:sz="4" w:color="E6E6E6"/>
              <w:insideV w:val="single" w:sz="4" w:color="E6E6E6"/>
            </w:tcBorders>
            <w:vAlign w:val="center"/>
            <w:shd w:fill="FFFFFF"/>
          </w:tcPr>
          <w:p>
            <w:pPr>
              <w:keepNext w:val="0"/>
              <w:spacing w:before="0" w:after="0" w:line="276" w:lineRule="auto"/>
              <w:jc w:val="center"/>
              <w:bidi w:val="1"/>
            </w:pPr>
            <w:r>
              <w:rPr>
                <w:rFonts w:ascii="Noto Naskh Arabic" w:hAnsi="Noto Naskh Arabic" w:eastAsia="Noto Naskh Arabic" w:cs="Noto Naskh Arabic"/>
                <w:b w:val="0"/>
                <w:color w:val="000000"/>
                <w:sz w:val="23"/>
                <w:rtl w:val="1"/>
              </w:rPr>
              <w:t>پریسا اسدی</w:t>
            </w:r>
          </w:p>
        </w:tc>
      </w:tr>
      <w:tr>
        <w:tc>
          <w:tcPr>
            <w:tcW w:type="dxa" w:w="2592"/>
            <w:tcMar>
              <w:top w:w="120" w:type="dxa"/>
              <w:start w:w="120" w:type="dxa"/>
              <w:bottom w:w="120" w:type="dxa"/>
              <w:end w:w="120" w:type="dxa"/>
            </w:tcMar>
            <w:tcBorders>
              <w:top w:val="single" w:sz="4" w:color="E6E6E6"/>
              <w:left w:val="single" w:sz="4" w:color="E6E6E6"/>
              <w:bottom w:val="single" w:sz="4" w:color="E6E6E6"/>
              <w:right w:val="single" w:sz="4" w:color="E6E6E6"/>
              <w:insideH w:val="single" w:sz="4" w:color="E6E6E6"/>
              <w:insideV w:val="single" w:sz="4" w:color="E6E6E6"/>
            </w:tcBorders>
            <w:vAlign w:val="center"/>
            <w:shd w:fill="DCE6F1"/>
          </w:tcPr>
          <w:p>
            <w:pPr>
              <w:keepNext w:val="0"/>
              <w:spacing w:before="0" w:after="0" w:line="276" w:lineRule="auto"/>
              <w:jc w:val="center"/>
              <w:bidi w:val="1"/>
            </w:pPr>
            <w:r>
              <w:rPr>
                <w:rFonts w:ascii="Noto Naskh Arabic" w:hAnsi="Noto Naskh Arabic" w:eastAsia="Noto Naskh Arabic" w:cs="Noto Naskh Arabic"/>
                <w:b/>
                <w:color w:val="000000"/>
                <w:sz w:val="23"/>
                <w:rtl w:val="1"/>
              </w:rPr>
              <w:t>استاد راهنما</w:t>
            </w:r>
          </w:p>
        </w:tc>
        <w:tc>
          <w:tcPr>
            <w:tcW w:type="dxa" w:w="6624"/>
            <w:tcMar>
              <w:top w:w="120" w:type="dxa"/>
              <w:start w:w="120" w:type="dxa"/>
              <w:bottom w:w="120" w:type="dxa"/>
              <w:end w:w="120" w:type="dxa"/>
            </w:tcMar>
            <w:tcBorders>
              <w:top w:val="single" w:sz="4" w:color="E6E6E6"/>
              <w:left w:val="single" w:sz="4" w:color="E6E6E6"/>
              <w:bottom w:val="single" w:sz="4" w:color="E6E6E6"/>
              <w:right w:val="single" w:sz="4" w:color="E6E6E6"/>
              <w:insideH w:val="single" w:sz="4" w:color="E6E6E6"/>
              <w:insideV w:val="single" w:sz="4" w:color="E6E6E6"/>
            </w:tcBorders>
            <w:vAlign w:val="center"/>
            <w:shd w:fill="FFFFFF"/>
          </w:tcPr>
          <w:p>
            <w:pPr>
              <w:keepNext w:val="0"/>
              <w:spacing w:before="0" w:after="0" w:line="276" w:lineRule="auto"/>
              <w:jc w:val="center"/>
              <w:bidi w:val="1"/>
            </w:pPr>
            <w:r>
              <w:rPr>
                <w:rFonts w:ascii="Noto Naskh Arabic" w:hAnsi="Noto Naskh Arabic" w:eastAsia="Noto Naskh Arabic" w:cs="Noto Naskh Arabic"/>
                <w:b w:val="0"/>
                <w:color w:val="000000"/>
                <w:sz w:val="23"/>
                <w:rtl w:val="1"/>
              </w:rPr>
              <w:t>دکتر جواد حمیدزاده</w:t>
            </w:r>
          </w:p>
        </w:tc>
      </w:tr>
      <w:tr>
        <w:tc>
          <w:tcPr>
            <w:tcW w:type="dxa" w:w="2592"/>
            <w:tcMar>
              <w:top w:w="120" w:type="dxa"/>
              <w:start w:w="120" w:type="dxa"/>
              <w:bottom w:w="120" w:type="dxa"/>
              <w:end w:w="120" w:type="dxa"/>
            </w:tcMar>
            <w:tcBorders>
              <w:top w:val="single" w:sz="4" w:color="E6E6E6"/>
              <w:left w:val="single" w:sz="4" w:color="E6E6E6"/>
              <w:bottom w:val="single" w:sz="4" w:color="E6E6E6"/>
              <w:right w:val="single" w:sz="4" w:color="E6E6E6"/>
              <w:insideH w:val="single" w:sz="4" w:color="E6E6E6"/>
              <w:insideV w:val="single" w:sz="4" w:color="E6E6E6"/>
            </w:tcBorders>
            <w:vAlign w:val="center"/>
            <w:shd w:fill="DCE6F1"/>
          </w:tcPr>
          <w:p>
            <w:pPr>
              <w:keepNext w:val="0"/>
              <w:spacing w:before="0" w:after="0" w:line="276" w:lineRule="auto"/>
              <w:jc w:val="center"/>
              <w:bidi w:val="1"/>
            </w:pPr>
            <w:r>
              <w:rPr>
                <w:rFonts w:ascii="Noto Naskh Arabic" w:hAnsi="Noto Naskh Arabic" w:eastAsia="Noto Naskh Arabic" w:cs="Noto Naskh Arabic"/>
                <w:b/>
                <w:color w:val="000000"/>
                <w:sz w:val="23"/>
                <w:rtl w:val="1"/>
              </w:rPr>
              <w:t>دانشگاه</w:t>
            </w:r>
          </w:p>
        </w:tc>
        <w:tc>
          <w:tcPr>
            <w:tcW w:type="dxa" w:w="6624"/>
            <w:tcMar>
              <w:top w:w="120" w:type="dxa"/>
              <w:start w:w="120" w:type="dxa"/>
              <w:bottom w:w="120" w:type="dxa"/>
              <w:end w:w="120" w:type="dxa"/>
            </w:tcMar>
            <w:tcBorders>
              <w:top w:val="single" w:sz="4" w:color="E6E6E6"/>
              <w:left w:val="single" w:sz="4" w:color="E6E6E6"/>
              <w:bottom w:val="single" w:sz="4" w:color="E6E6E6"/>
              <w:right w:val="single" w:sz="4" w:color="E6E6E6"/>
              <w:insideH w:val="single" w:sz="4" w:color="E6E6E6"/>
              <w:insideV w:val="single" w:sz="4" w:color="E6E6E6"/>
            </w:tcBorders>
            <w:vAlign w:val="center"/>
            <w:shd w:fill="FFFFFF"/>
          </w:tcPr>
          <w:p>
            <w:pPr>
              <w:keepNext w:val="0"/>
              <w:spacing w:before="0" w:after="0" w:line="276" w:lineRule="auto"/>
              <w:jc w:val="center"/>
              <w:bidi w:val="1"/>
            </w:pPr>
            <w:r>
              <w:rPr>
                <w:rFonts w:ascii="Noto Naskh Arabic" w:hAnsi="Noto Naskh Arabic" w:eastAsia="Noto Naskh Arabic" w:cs="Noto Naskh Arabic"/>
                <w:b w:val="0"/>
                <w:color w:val="000000"/>
                <w:sz w:val="23"/>
                <w:rtl w:val="1"/>
              </w:rPr>
              <w:t>دانشگاه صنعتی سجاد</w:t>
            </w:r>
          </w:p>
        </w:tc>
      </w:tr>
      <w:tr>
        <w:tc>
          <w:tcPr>
            <w:tcW w:type="dxa" w:w="2592"/>
            <w:tcMar>
              <w:top w:w="120" w:type="dxa"/>
              <w:start w:w="120" w:type="dxa"/>
              <w:bottom w:w="120" w:type="dxa"/>
              <w:end w:w="120" w:type="dxa"/>
            </w:tcMar>
            <w:tcBorders>
              <w:top w:val="single" w:sz="4" w:color="E6E6E6"/>
              <w:left w:val="single" w:sz="4" w:color="E6E6E6"/>
              <w:bottom w:val="single" w:sz="4" w:color="E6E6E6"/>
              <w:right w:val="single" w:sz="4" w:color="E6E6E6"/>
              <w:insideH w:val="single" w:sz="4" w:color="E6E6E6"/>
              <w:insideV w:val="single" w:sz="4" w:color="E6E6E6"/>
            </w:tcBorders>
            <w:vAlign w:val="center"/>
            <w:shd w:fill="DCE6F1"/>
          </w:tcPr>
          <w:p>
            <w:pPr>
              <w:keepNext w:val="0"/>
              <w:spacing w:before="0" w:after="0" w:line="276" w:lineRule="auto"/>
              <w:jc w:val="center"/>
              <w:bidi w:val="1"/>
            </w:pPr>
            <w:r>
              <w:rPr>
                <w:rFonts w:ascii="Noto Naskh Arabic" w:hAnsi="Noto Naskh Arabic" w:eastAsia="Noto Naskh Arabic" w:cs="Noto Naskh Arabic"/>
                <w:b/>
                <w:color w:val="000000"/>
                <w:sz w:val="23"/>
                <w:rtl w:val="1"/>
              </w:rPr>
              <w:t>گرایش</w:t>
            </w:r>
          </w:p>
        </w:tc>
        <w:tc>
          <w:tcPr>
            <w:tcW w:type="dxa" w:w="6624"/>
            <w:tcMar>
              <w:top w:w="120" w:type="dxa"/>
              <w:start w:w="120" w:type="dxa"/>
              <w:bottom w:w="120" w:type="dxa"/>
              <w:end w:w="120" w:type="dxa"/>
            </w:tcMar>
            <w:tcBorders>
              <w:top w:val="single" w:sz="4" w:color="E6E6E6"/>
              <w:left w:val="single" w:sz="4" w:color="E6E6E6"/>
              <w:bottom w:val="single" w:sz="4" w:color="E6E6E6"/>
              <w:right w:val="single" w:sz="4" w:color="E6E6E6"/>
              <w:insideH w:val="single" w:sz="4" w:color="E6E6E6"/>
              <w:insideV w:val="single" w:sz="4" w:color="E6E6E6"/>
            </w:tcBorders>
            <w:vAlign w:val="center"/>
            <w:shd w:fill="FFFFFF"/>
          </w:tcPr>
          <w:p>
            <w:pPr>
              <w:keepNext w:val="0"/>
              <w:spacing w:before="0" w:after="0" w:line="276" w:lineRule="auto"/>
              <w:jc w:val="center"/>
              <w:bidi w:val="1"/>
            </w:pPr>
            <w:r>
              <w:rPr>
                <w:rFonts w:ascii="Noto Naskh Arabic" w:hAnsi="Noto Naskh Arabic" w:eastAsia="Noto Naskh Arabic" w:cs="Noto Naskh Arabic"/>
                <w:b w:val="0"/>
                <w:color w:val="000000"/>
                <w:sz w:val="23"/>
                <w:rtl w:val="1"/>
              </w:rPr>
              <w:t>مهندسی کامپیوتر گرایش شبکه های کامپیوتری</w:t>
            </w:r>
          </w:p>
        </w:tc>
      </w:tr>
      <w:tr>
        <w:tc>
          <w:tcPr>
            <w:tcW w:type="dxa" w:w="2592"/>
            <w:tcMar>
              <w:top w:w="120" w:type="dxa"/>
              <w:start w:w="120" w:type="dxa"/>
              <w:bottom w:w="120" w:type="dxa"/>
              <w:end w:w="120" w:type="dxa"/>
            </w:tcMar>
            <w:tcBorders>
              <w:top w:val="single" w:sz="4" w:color="E6E6E6"/>
              <w:left w:val="single" w:sz="4" w:color="E6E6E6"/>
              <w:bottom w:val="single" w:sz="4" w:color="E6E6E6"/>
              <w:right w:val="single" w:sz="4" w:color="E6E6E6"/>
              <w:insideH w:val="single" w:sz="4" w:color="E6E6E6"/>
              <w:insideV w:val="single" w:sz="4" w:color="E6E6E6"/>
            </w:tcBorders>
            <w:vAlign w:val="center"/>
            <w:shd w:fill="DCE6F1"/>
          </w:tcPr>
          <w:p>
            <w:pPr>
              <w:keepNext w:val="0"/>
              <w:spacing w:before="0" w:after="0" w:line="276" w:lineRule="auto"/>
              <w:jc w:val="center"/>
              <w:bidi w:val="1"/>
            </w:pPr>
            <w:r>
              <w:rPr>
                <w:rFonts w:ascii="Noto Naskh Arabic" w:hAnsi="Noto Naskh Arabic" w:eastAsia="Noto Naskh Arabic" w:cs="Noto Naskh Arabic"/>
                <w:b/>
                <w:color w:val="000000"/>
                <w:sz w:val="23"/>
                <w:rtl w:val="1"/>
              </w:rPr>
              <w:t>تاریخ گزارش</w:t>
            </w:r>
          </w:p>
        </w:tc>
        <w:tc>
          <w:tcPr>
            <w:tcW w:type="dxa" w:w="6624"/>
            <w:tcMar>
              <w:top w:w="120" w:type="dxa"/>
              <w:start w:w="120" w:type="dxa"/>
              <w:bottom w:w="120" w:type="dxa"/>
              <w:end w:w="120" w:type="dxa"/>
            </w:tcMar>
            <w:tcBorders>
              <w:top w:val="single" w:sz="4" w:color="E6E6E6"/>
              <w:left w:val="single" w:sz="4" w:color="E6E6E6"/>
              <w:bottom w:val="single" w:sz="4" w:color="E6E6E6"/>
              <w:right w:val="single" w:sz="4" w:color="E6E6E6"/>
              <w:insideH w:val="single" w:sz="4" w:color="E6E6E6"/>
              <w:insideV w:val="single" w:sz="4" w:color="E6E6E6"/>
            </w:tcBorders>
            <w:vAlign w:val="center"/>
            <w:shd w:fill="FFFFFF"/>
          </w:tcPr>
          <w:p>
            <w:pPr>
              <w:keepNext w:val="0"/>
              <w:spacing w:before="0" w:after="0" w:line="276" w:lineRule="auto"/>
              <w:jc w:val="center"/>
              <w:bidi w:val="1"/>
            </w:pPr>
            <w:r>
              <w:rPr>
                <w:rFonts w:ascii="Noto Naskh Arabic" w:hAnsi="Noto Naskh Arabic" w:eastAsia="Noto Naskh Arabic" w:cs="Noto Naskh Arabic"/>
                <w:b w:val="0"/>
                <w:color w:val="000000"/>
                <w:sz w:val="23"/>
                <w:rtl w:val="1"/>
              </w:rPr>
              <w:t>شهریور ۱۴۰۵</w:t>
            </w:r>
          </w:p>
        </w:tc>
      </w:tr>
    </w:tbl>
    <w:p>
      <w:pPr>
        <w:keepNext w:val="0"/>
        <w:spacing w:before="520" w:after="0" w:line="360" w:lineRule="auto"/>
        <w:jc w:val="center"/>
        <w:bidi w:val="1"/>
      </w:pPr>
      <w:r>
        <w:rPr>
          <w:rFonts w:ascii="Noto Naskh Arabic" w:hAnsi="Noto Naskh Arabic" w:eastAsia="Noto Naskh Arabic" w:cs="Noto Naskh Arabic"/>
          <w:b w:val="0"/>
          <w:color w:val="000000"/>
          <w:sz w:val="24"/>
          <w:rtl w:val="1"/>
        </w:rPr>
        <w:t>وضعیت کلی پژوهش در این مرحله تکمیل پیاده سازی اصلی تکمیل ارزیابی آزمایشگاهی و پایان ارزیابی خارجی تکرارشونده است. نتایج در فصل های سوم تا پنجم و فایل ارائه دفاع اعمال شده اند و نسخه یکپارچه پایان نامه برای بازبینی استاد راهنما آماده است.</w:t>
      </w:r>
    </w:p>
    <w:p>
      <w:r>
        <w:br w:type="page"/>
      </w:r>
    </w:p>
    <w:p>
      <w:pPr>
        <w:pStyle w:val="Heading1"/>
        <w:keepNext/>
        <w:spacing w:before="200" w:after="100" w:line="276" w:lineRule="auto"/>
        <w:jc w:val="right"/>
        <w:pageBreakBefore w:val="0"/>
        <w:bidi w:val="1"/>
      </w:pPr>
      <w:r>
        <w:rPr>
          <w:rFonts w:ascii="Noto Naskh Arabic" w:hAnsi="Noto Naskh Arabic" w:eastAsia="Noto Naskh Arabic" w:cs="Noto Naskh Arabic"/>
          <w:b/>
          <w:color w:val="000000"/>
          <w:sz w:val="30"/>
          <w:rtl w:val="1"/>
        </w:rPr>
        <w:t>خلاصه وضعیت پژوهش</w:t>
      </w:r>
    </w:p>
    <w:p>
      <w:pPr>
        <w:keepNext w:val="0"/>
        <w:spacing w:before="0" w:after="120" w:line="324" w:lineRule="auto"/>
        <w:jc w:val="right"/>
        <w:bidi w:val="1"/>
      </w:pPr>
      <w:r>
        <w:rPr>
          <w:rFonts w:ascii="Noto Naskh Arabic" w:hAnsi="Noto Naskh Arabic" w:eastAsia="Noto Naskh Arabic" w:cs="Noto Naskh Arabic"/>
          <w:b w:val="0"/>
          <w:color w:val="000000"/>
          <w:sz w:val="24"/>
          <w:rtl w:val="1"/>
        </w:rPr>
        <w:t>هدف پژوهش طراحی و ارزیابی یک روش بدون نظارت برای تشخیص الگوهای ترافیکی مرتبط با حملات DDoS در شبکه نرم افزارمحور است. پیاده سازی اصلی در محیط Mininet و بر پایه آمار جریان OpenFlow انجام شد. در ادامه، برای بررسی قابلیت تعمیم روش، ارزیابی تکمیلی روی داده های InSDN در پنج تقسیم مستقل اجرا شد. نتیجه اصلی این مرحله آن است که روش پیشنهادی در سناریوی کنترل شده حمله پرنرخ را به طور کامل شناسایی کرد و مدل دونما در ارزیابی خارجی Recall میانگین ۹۵٫۶۲ درصد به دست آورد.</w:t>
      </w:r>
    </w:p>
    <w:tbl>
      <w:tblPr>
        <w:tblW w:type="auto" w:w="0"/>
        <w:jc w:val="center"/>
        <w:tblLayout w:type="fixed"/>
        <w:tblLook w:firstColumn="1" w:firstRow="1" w:lastColumn="0" w:lastRow="0" w:noHBand="0" w:noVBand="1" w:val="04A0"/>
        <w:bidiVisual/>
      </w:tblPr>
      <w:tblGrid>
        <w:gridCol w:w="3293"/>
        <w:gridCol w:w="3293"/>
        <w:gridCol w:w="3293"/>
      </w:tblGrid>
      <w:tr>
        <w:trPr>
          <w:tblHeader/>
        </w:trPr>
        <w:tc>
          <w:tcPr>
            <w:tcW w:type="dxa" w:w="2088"/>
            <w:shd w:fill="1F4E78"/>
            <w:tcMar>
              <w:top w:w="130" w:type="dxa"/>
              <w:start w:w="120" w:type="dxa"/>
              <w:bottom w:w="13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keepNext w:val="0"/>
              <w:spacing w:before="0" w:after="0" w:line="264" w:lineRule="auto"/>
              <w:jc w:val="center"/>
              <w:bidi w:val="1"/>
            </w:pPr>
            <w:r/>
            <w:r>
              <w:rPr>
                <w:rFonts w:ascii="Noto Naskh Arabic" w:hAnsi="Noto Naskh Arabic" w:eastAsia="Noto Naskh Arabic" w:cs="Noto Naskh Arabic"/>
                <w:b/>
                <w:color w:val="FFFFFF"/>
                <w:sz w:val="21"/>
                <w:rtl w:val="1"/>
              </w:rPr>
              <w:t>مرحله</w:t>
            </w:r>
          </w:p>
        </w:tc>
        <w:tc>
          <w:tcPr>
            <w:tcW w:type="dxa" w:w="1728"/>
            <w:shd w:fill="1F4E78"/>
            <w:tcMar>
              <w:top w:w="130" w:type="dxa"/>
              <w:start w:w="120" w:type="dxa"/>
              <w:bottom w:w="13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keepNext w:val="0"/>
              <w:spacing w:before="0" w:after="0" w:line="264" w:lineRule="auto"/>
              <w:jc w:val="center"/>
              <w:bidi w:val="1"/>
            </w:pPr>
            <w:r/>
            <w:r>
              <w:rPr>
                <w:rFonts w:ascii="Noto Naskh Arabic" w:hAnsi="Noto Naskh Arabic" w:eastAsia="Noto Naskh Arabic" w:cs="Noto Naskh Arabic"/>
                <w:b/>
                <w:color w:val="FFFFFF"/>
                <w:sz w:val="21"/>
                <w:rtl w:val="1"/>
              </w:rPr>
              <w:t>وضعیت</w:t>
            </w:r>
          </w:p>
        </w:tc>
        <w:tc>
          <w:tcPr>
            <w:tcW w:type="dxa" w:w="6768"/>
            <w:shd w:fill="1F4E78"/>
            <w:tcMar>
              <w:top w:w="130" w:type="dxa"/>
              <w:start w:w="120" w:type="dxa"/>
              <w:bottom w:w="13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keepNext w:val="0"/>
              <w:spacing w:before="0" w:after="0" w:line="264" w:lineRule="auto"/>
              <w:jc w:val="center"/>
              <w:bidi w:val="1"/>
            </w:pPr>
            <w:r/>
            <w:r>
              <w:rPr>
                <w:rFonts w:ascii="Noto Naskh Arabic" w:hAnsi="Noto Naskh Arabic" w:eastAsia="Noto Naskh Arabic" w:cs="Noto Naskh Arabic"/>
                <w:b/>
                <w:color w:val="FFFFFF"/>
                <w:sz w:val="21"/>
                <w:rtl w:val="1"/>
              </w:rPr>
              <w:t>خروجی</w:t>
            </w:r>
          </w:p>
        </w:tc>
      </w:tr>
      <w:tr>
        <w:tc>
          <w:tcPr>
            <w:tcW w:type="dxa" w:w="2088"/>
            <w:shd w:fill="FFFFFF"/>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keepNext w:val="0"/>
              <w:spacing w:before="0" w:after="0" w:line="276" w:lineRule="auto"/>
              <w:jc w:val="center"/>
              <w:bidi w:val="1"/>
            </w:pPr>
            <w:r/>
            <w:r>
              <w:rPr>
                <w:rFonts w:ascii="Noto Naskh Arabic" w:hAnsi="Noto Naskh Arabic" w:eastAsia="Noto Naskh Arabic" w:cs="Noto Naskh Arabic"/>
                <w:color w:val="000000"/>
                <w:sz w:val="21"/>
                <w:rtl w:val="1"/>
              </w:rPr>
              <w:t>طراحی و پیاده سازی</w:t>
            </w:r>
          </w:p>
        </w:tc>
        <w:tc>
          <w:tcPr>
            <w:tcW w:type="dxa" w:w="1728"/>
            <w:shd w:fill="FFFFFF"/>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keepNext w:val="0"/>
              <w:spacing w:before="0" w:after="0" w:line="276" w:lineRule="auto"/>
              <w:jc w:val="center"/>
              <w:bidi w:val="1"/>
            </w:pPr>
            <w:r/>
            <w:r>
              <w:rPr>
                <w:rFonts w:ascii="Noto Naskh Arabic" w:hAnsi="Noto Naskh Arabic" w:eastAsia="Noto Naskh Arabic" w:cs="Noto Naskh Arabic"/>
                <w:color w:val="000000"/>
                <w:sz w:val="21"/>
                <w:rtl w:val="1"/>
              </w:rPr>
              <w:t>تکمیل شده</w:t>
            </w:r>
          </w:p>
        </w:tc>
        <w:tc>
          <w:tcPr>
            <w:tcW w:type="dxa" w:w="6768"/>
            <w:shd w:fill="FFFFFF"/>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keepNext w:val="0"/>
              <w:spacing w:before="0" w:after="0" w:line="276" w:lineRule="auto"/>
              <w:jc w:val="center"/>
              <w:bidi w:val="1"/>
            </w:pPr>
            <w:r/>
            <w:r>
              <w:rPr>
                <w:rFonts w:ascii="Noto Naskh Arabic" w:hAnsi="Noto Naskh Arabic" w:eastAsia="Noto Naskh Arabic" w:cs="Noto Naskh Arabic"/>
                <w:color w:val="000000"/>
                <w:sz w:val="21"/>
                <w:rtl w:val="1"/>
              </w:rPr>
              <w:t>Mininet و Open vSwitch و کنترل کننده POX و استخراج ویژگی های جریان</w:t>
            </w:r>
          </w:p>
        </w:tc>
      </w:tr>
      <w:tr>
        <w:tc>
          <w:tcPr>
            <w:tcW w:type="dxa" w:w="2088"/>
            <w:shd w:fill="EDF4F8"/>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keepNext w:val="0"/>
              <w:spacing w:before="0" w:after="0" w:line="276" w:lineRule="auto"/>
              <w:jc w:val="center"/>
              <w:bidi w:val="1"/>
            </w:pPr>
            <w:r/>
            <w:r>
              <w:rPr>
                <w:rFonts w:ascii="Noto Naskh Arabic" w:hAnsi="Noto Naskh Arabic" w:eastAsia="Noto Naskh Arabic" w:cs="Noto Naskh Arabic"/>
                <w:color w:val="000000"/>
                <w:sz w:val="21"/>
                <w:rtl w:val="1"/>
              </w:rPr>
              <w:t>ارزیابی آزمایشگاهی</w:t>
            </w:r>
          </w:p>
        </w:tc>
        <w:tc>
          <w:tcPr>
            <w:tcW w:type="dxa" w:w="1728"/>
            <w:shd w:fill="EDF4F8"/>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keepNext w:val="0"/>
              <w:spacing w:before="0" w:after="0" w:line="276" w:lineRule="auto"/>
              <w:jc w:val="center"/>
              <w:bidi w:val="1"/>
            </w:pPr>
            <w:r/>
            <w:r>
              <w:rPr>
                <w:rFonts w:ascii="Noto Naskh Arabic" w:hAnsi="Noto Naskh Arabic" w:eastAsia="Noto Naskh Arabic" w:cs="Noto Naskh Arabic"/>
                <w:color w:val="000000"/>
                <w:sz w:val="21"/>
                <w:rtl w:val="1"/>
              </w:rPr>
              <w:t>تکمیل شده</w:t>
            </w:r>
          </w:p>
        </w:tc>
        <w:tc>
          <w:tcPr>
            <w:tcW w:type="dxa" w:w="6768"/>
            <w:shd w:fill="EDF4F8"/>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keepNext w:val="0"/>
              <w:spacing w:before="0" w:after="0" w:line="276" w:lineRule="auto"/>
              <w:jc w:val="center"/>
              <w:bidi w:val="1"/>
            </w:pPr>
            <w:r/>
            <w:r>
              <w:rPr>
                <w:rFonts w:ascii="Noto Naskh Arabic" w:hAnsi="Noto Naskh Arabic" w:eastAsia="Noto Naskh Arabic" w:cs="Noto Naskh Arabic"/>
                <w:color w:val="000000"/>
                <w:sz w:val="21"/>
                <w:rtl w:val="1"/>
              </w:rPr>
              <w:t>چهار اجرای مستقل و ۸۹۶ نمونه آزمون</w:t>
            </w:r>
          </w:p>
        </w:tc>
      </w:tr>
      <w:tr>
        <w:tc>
          <w:tcPr>
            <w:tcW w:type="dxa" w:w="2088"/>
            <w:shd w:fill="FFFFFF"/>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keepNext w:val="0"/>
              <w:spacing w:before="0" w:after="0" w:line="276" w:lineRule="auto"/>
              <w:jc w:val="center"/>
              <w:bidi w:val="1"/>
            </w:pPr>
            <w:r/>
            <w:r>
              <w:rPr>
                <w:rFonts w:ascii="Noto Naskh Arabic" w:hAnsi="Noto Naskh Arabic" w:eastAsia="Noto Naskh Arabic" w:cs="Noto Naskh Arabic"/>
                <w:color w:val="000000"/>
                <w:sz w:val="21"/>
                <w:rtl w:val="1"/>
              </w:rPr>
              <w:t>ارزیابی خارجی InSDN</w:t>
            </w:r>
          </w:p>
        </w:tc>
        <w:tc>
          <w:tcPr>
            <w:tcW w:type="dxa" w:w="1728"/>
            <w:shd w:fill="FFFFFF"/>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keepNext w:val="0"/>
              <w:spacing w:before="0" w:after="0" w:line="276" w:lineRule="auto"/>
              <w:jc w:val="center"/>
              <w:bidi w:val="1"/>
            </w:pPr>
            <w:r/>
            <w:r>
              <w:rPr>
                <w:rFonts w:ascii="Noto Naskh Arabic" w:hAnsi="Noto Naskh Arabic" w:eastAsia="Noto Naskh Arabic" w:cs="Noto Naskh Arabic"/>
                <w:color w:val="000000"/>
                <w:sz w:val="21"/>
                <w:rtl w:val="1"/>
              </w:rPr>
              <w:t>تکمیل شده</w:t>
            </w:r>
          </w:p>
        </w:tc>
        <w:tc>
          <w:tcPr>
            <w:tcW w:type="dxa" w:w="6768"/>
            <w:shd w:fill="FFFFFF"/>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keepNext w:val="0"/>
              <w:spacing w:before="0" w:after="0" w:line="276" w:lineRule="auto"/>
              <w:jc w:val="center"/>
              <w:bidi w:val="1"/>
            </w:pPr>
            <w:r/>
            <w:r>
              <w:rPr>
                <w:rFonts w:ascii="Noto Naskh Arabic" w:hAnsi="Noto Naskh Arabic" w:eastAsia="Noto Naskh Arabic" w:cs="Noto Naskh Arabic"/>
                <w:color w:val="000000"/>
                <w:sz w:val="21"/>
                <w:rtl w:val="1"/>
              </w:rPr>
              <w:t>پنج تقسیم مستقل مبتنی بر Flow ID</w:t>
            </w:r>
          </w:p>
        </w:tc>
      </w:tr>
      <w:tr>
        <w:tc>
          <w:tcPr>
            <w:tcW w:type="dxa" w:w="2088"/>
            <w:shd w:fill="EDF4F8"/>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keepNext w:val="0"/>
              <w:spacing w:before="0" w:after="0" w:line="276" w:lineRule="auto"/>
              <w:jc w:val="center"/>
              <w:bidi w:val="1"/>
            </w:pPr>
            <w:r/>
            <w:r>
              <w:rPr>
                <w:rFonts w:ascii="Noto Naskh Arabic" w:hAnsi="Noto Naskh Arabic" w:eastAsia="Noto Naskh Arabic" w:cs="Noto Naskh Arabic"/>
                <w:color w:val="000000"/>
                <w:sz w:val="21"/>
                <w:rtl w:val="1"/>
              </w:rPr>
              <w:t>تدوین پایان نامه</w:t>
            </w:r>
          </w:p>
        </w:tc>
        <w:tc>
          <w:tcPr>
            <w:tcW w:type="dxa" w:w="1728"/>
            <w:shd w:fill="EDF4F8"/>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keepNext w:val="0"/>
              <w:spacing w:before="0" w:after="0" w:line="276" w:lineRule="auto"/>
              <w:jc w:val="center"/>
              <w:bidi w:val="1"/>
            </w:pPr>
            <w:r/>
            <w:r>
              <w:rPr>
                <w:rFonts w:ascii="Noto Naskh Arabic" w:hAnsi="Noto Naskh Arabic" w:eastAsia="Noto Naskh Arabic" w:cs="Noto Naskh Arabic"/>
                <w:color w:val="000000"/>
                <w:sz w:val="21"/>
                <w:rtl w:val="1"/>
              </w:rPr>
              <w:t>به روزرسانی شده</w:t>
            </w:r>
          </w:p>
        </w:tc>
        <w:tc>
          <w:tcPr>
            <w:tcW w:type="dxa" w:w="6768"/>
            <w:shd w:fill="EDF4F8"/>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keepNext w:val="0"/>
              <w:spacing w:before="0" w:after="0" w:line="276" w:lineRule="auto"/>
              <w:jc w:val="center"/>
              <w:bidi w:val="1"/>
            </w:pPr>
            <w:r/>
            <w:r>
              <w:rPr>
                <w:rFonts w:ascii="Noto Naskh Arabic" w:hAnsi="Noto Naskh Arabic" w:eastAsia="Noto Naskh Arabic" w:cs="Noto Naskh Arabic"/>
                <w:color w:val="000000"/>
                <w:sz w:val="21"/>
                <w:rtl w:val="1"/>
              </w:rPr>
              <w:t>اعمال نتایج در فصل های سوم و چهارم و پنجم و نسخه یکپارچه</w:t>
            </w:r>
          </w:p>
        </w:tc>
      </w:tr>
      <w:tr>
        <w:tc>
          <w:tcPr>
            <w:tcW w:type="dxa" w:w="2088"/>
            <w:shd w:fill="FFFFFF"/>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keepNext w:val="0"/>
              <w:spacing w:before="0" w:after="0" w:line="276" w:lineRule="auto"/>
              <w:jc w:val="center"/>
              <w:bidi w:val="1"/>
            </w:pPr>
            <w:r/>
            <w:r>
              <w:rPr>
                <w:rFonts w:ascii="Noto Naskh Arabic" w:hAnsi="Noto Naskh Arabic" w:eastAsia="Noto Naskh Arabic" w:cs="Noto Naskh Arabic"/>
                <w:color w:val="000000"/>
                <w:sz w:val="21"/>
                <w:rtl w:val="1"/>
              </w:rPr>
              <w:t>فایل ارائه دفاع</w:t>
            </w:r>
          </w:p>
        </w:tc>
        <w:tc>
          <w:tcPr>
            <w:tcW w:type="dxa" w:w="1728"/>
            <w:shd w:fill="FFFFFF"/>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keepNext w:val="0"/>
              <w:spacing w:before="0" w:after="0" w:line="276" w:lineRule="auto"/>
              <w:jc w:val="center"/>
              <w:bidi w:val="1"/>
            </w:pPr>
            <w:r/>
            <w:r>
              <w:rPr>
                <w:rFonts w:ascii="Noto Naskh Arabic" w:hAnsi="Noto Naskh Arabic" w:eastAsia="Noto Naskh Arabic" w:cs="Noto Naskh Arabic"/>
                <w:color w:val="000000"/>
                <w:sz w:val="21"/>
                <w:rtl w:val="1"/>
              </w:rPr>
              <w:t>به روزرسانی شده</w:t>
            </w:r>
          </w:p>
        </w:tc>
        <w:tc>
          <w:tcPr>
            <w:tcW w:type="dxa" w:w="6768"/>
            <w:shd w:fill="FFFFFF"/>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keepNext w:val="0"/>
              <w:spacing w:before="0" w:after="0" w:line="276" w:lineRule="auto"/>
              <w:jc w:val="center"/>
              <w:bidi w:val="1"/>
            </w:pPr>
            <w:r/>
            <w:r>
              <w:rPr>
                <w:rFonts w:ascii="Noto Naskh Arabic" w:hAnsi="Noto Naskh Arabic" w:eastAsia="Noto Naskh Arabic" w:cs="Noto Naskh Arabic"/>
                <w:color w:val="000000"/>
                <w:sz w:val="21"/>
                <w:rtl w:val="1"/>
              </w:rPr>
              <w:t>افزودن ارزیابی خارجی و جمع بندی نتایج</w:t>
            </w:r>
          </w:p>
        </w:tc>
      </w:tr>
    </w:tbl>
    <w:p>
      <w:pPr>
        <w:spacing w:after="40"/>
      </w:pPr>
    </w:p>
    <w:p>
      <w:pPr>
        <w:pStyle w:val="Heading1"/>
        <w:keepNext/>
        <w:spacing w:before="200" w:after="100" w:line="276" w:lineRule="auto"/>
        <w:jc w:val="right"/>
        <w:pageBreakBefore w:val="0"/>
        <w:bidi w:val="1"/>
      </w:pPr>
      <w:r>
        <w:rPr>
          <w:rFonts w:ascii="Noto Naskh Arabic" w:hAnsi="Noto Naskh Arabic" w:eastAsia="Noto Naskh Arabic" w:cs="Noto Naskh Arabic"/>
          <w:b/>
          <w:color w:val="000000"/>
          <w:sz w:val="30"/>
          <w:rtl w:val="1"/>
        </w:rPr>
        <w:t>کارهای انجام شده</w:t>
      </w:r>
    </w:p>
    <w:p>
      <w:pPr>
        <w:keepNext w:val="0"/>
        <w:spacing w:before="0" w:after="60" w:line="312" w:lineRule="auto"/>
        <w:ind w:right="255" w:hanging="198"/>
        <w:jc w:val="right"/>
        <w:bidi w:val="1"/>
      </w:pPr>
      <w:r>
        <w:rPr>
          <w:rFonts w:ascii="Noto Naskh Arabic" w:hAnsi="Noto Naskh Arabic" w:eastAsia="Noto Naskh Arabic" w:cs="Noto Naskh Arabic"/>
          <w:color w:val="000000"/>
          <w:sz w:val="23"/>
          <w:rtl w:val="1"/>
        </w:rPr>
        <w:t>• راه اندازی توپولوژی آزمایش شامل یک سوئیچ Open vSwitch سه میزبان و کنترل کننده POX در محیط Mininet</w:t>
      </w:r>
    </w:p>
    <w:p>
      <w:pPr>
        <w:keepNext w:val="0"/>
        <w:spacing w:before="0" w:after="60" w:line="312" w:lineRule="auto"/>
        <w:ind w:right="255" w:hanging="198"/>
        <w:jc w:val="right"/>
        <w:bidi w:val="1"/>
      </w:pPr>
      <w:r>
        <w:rPr>
          <w:rFonts w:ascii="Noto Naskh Arabic" w:hAnsi="Noto Naskh Arabic" w:eastAsia="Noto Naskh Arabic" w:cs="Noto Naskh Arabic"/>
          <w:color w:val="000000"/>
          <w:sz w:val="23"/>
          <w:rtl w:val="1"/>
        </w:rPr>
        <w:t>• تولید و جمع آوری مستقل ترافیک عادی و ترافیک ICMP پرنرخ و تبدیل شمارنده های OpenFlow به ویژگی های نرخ بسته نرخ بایت و مدت جریان</w:t>
      </w:r>
    </w:p>
    <w:p>
      <w:pPr>
        <w:keepNext w:val="0"/>
        <w:spacing w:before="0" w:after="60" w:line="312" w:lineRule="auto"/>
        <w:ind w:right="255" w:hanging="198"/>
        <w:jc w:val="right"/>
        <w:bidi w:val="1"/>
      </w:pPr>
      <w:r>
        <w:rPr>
          <w:rFonts w:ascii="Noto Naskh Arabic" w:hAnsi="Noto Naskh Arabic" w:eastAsia="Noto Naskh Arabic" w:cs="Noto Naskh Arabic"/>
          <w:color w:val="000000"/>
          <w:sz w:val="23"/>
          <w:rtl w:val="1"/>
        </w:rPr>
        <w:t>• پیاده سازی پیش پردازش استانداردسازی و DBSCAN و جداسازی مرحله کالیبراسیون از مرحله آزمون</w:t>
      </w:r>
    </w:p>
    <w:p>
      <w:pPr>
        <w:keepNext w:val="0"/>
        <w:spacing w:before="0" w:after="60" w:line="312" w:lineRule="auto"/>
        <w:ind w:right="255" w:hanging="198"/>
        <w:jc w:val="right"/>
        <w:bidi w:val="1"/>
      </w:pPr>
      <w:r>
        <w:rPr>
          <w:rFonts w:ascii="Noto Naskh Arabic" w:hAnsi="Noto Naskh Arabic" w:eastAsia="Noto Naskh Arabic" w:cs="Noto Naskh Arabic"/>
          <w:color w:val="000000"/>
          <w:sz w:val="23"/>
          <w:rtl w:val="1"/>
        </w:rPr>
        <w:t>• انتخاب پارامترهای DBSCAN با استفاده از منحنی فاصله همسایه پنجم و تحلیل حساسیت eps</w:t>
      </w:r>
    </w:p>
    <w:p>
      <w:pPr>
        <w:keepNext w:val="0"/>
        <w:spacing w:before="0" w:after="60" w:line="312" w:lineRule="auto"/>
        <w:ind w:right="255" w:hanging="198"/>
        <w:jc w:val="right"/>
        <w:bidi w:val="1"/>
      </w:pPr>
      <w:r>
        <w:rPr>
          <w:rFonts w:ascii="Noto Naskh Arabic" w:hAnsi="Noto Naskh Arabic" w:eastAsia="Noto Naskh Arabic" w:cs="Noto Naskh Arabic"/>
          <w:color w:val="000000"/>
          <w:sz w:val="23"/>
          <w:rtl w:val="1"/>
        </w:rPr>
        <w:t>• اجرای چهار آزمون مستقل آزمایشگاهی و محاسبه ماتریس درهم ریختگی و معیارهای Precision Recall F1 FPR Specificity و Balanced Accuracy</w:t>
      </w:r>
    </w:p>
    <w:p>
      <w:pPr>
        <w:keepNext w:val="0"/>
        <w:spacing w:before="0" w:after="60" w:line="312" w:lineRule="auto"/>
        <w:ind w:right="255" w:hanging="198"/>
        <w:jc w:val="right"/>
        <w:bidi w:val="1"/>
      </w:pPr>
      <w:r>
        <w:rPr>
          <w:rFonts w:ascii="Noto Naskh Arabic" w:hAnsi="Noto Naskh Arabic" w:eastAsia="Noto Naskh Arabic" w:cs="Noto Naskh Arabic"/>
          <w:color w:val="000000"/>
          <w:sz w:val="23"/>
          <w:rtl w:val="1"/>
        </w:rPr>
        <w:t>• تحلیل منشأ هشدارهای کاذب و شناسایی نقش نمونه برداری در مرز زمانی پنجره ها</w:t>
      </w:r>
    </w:p>
    <w:p>
      <w:pPr>
        <w:keepNext w:val="0"/>
        <w:spacing w:before="0" w:after="60" w:line="312" w:lineRule="auto"/>
        <w:ind w:right="255" w:hanging="198"/>
        <w:jc w:val="right"/>
        <w:bidi w:val="1"/>
      </w:pPr>
      <w:r>
        <w:rPr>
          <w:rFonts w:ascii="Noto Naskh Arabic" w:hAnsi="Noto Naskh Arabic" w:eastAsia="Noto Naskh Arabic" w:cs="Noto Naskh Arabic"/>
          <w:color w:val="000000"/>
          <w:sz w:val="23"/>
          <w:rtl w:val="1"/>
        </w:rPr>
        <w:t>• اجرای ارزیابی خارجی روی InSDN با روش پایه و مدل دونما در پنج تقسیم مستقل گروه بندی شده بر اساس Flow ID</w:t>
      </w:r>
    </w:p>
    <w:p>
      <w:pPr>
        <w:keepNext w:val="0"/>
        <w:spacing w:before="0" w:after="60" w:line="312" w:lineRule="auto"/>
        <w:ind w:right="255" w:hanging="198"/>
        <w:jc w:val="right"/>
        <w:bidi w:val="1"/>
      </w:pPr>
      <w:r>
        <w:rPr>
          <w:rFonts w:ascii="Noto Naskh Arabic" w:hAnsi="Noto Naskh Arabic" w:eastAsia="Noto Naskh Arabic" w:cs="Noto Naskh Arabic"/>
          <w:color w:val="000000"/>
          <w:sz w:val="23"/>
          <w:rtl w:val="1"/>
        </w:rPr>
        <w:t>• به روزرسانی فصل های پایان نامه منابع گزارش نتایج و اسلایدهای ارائه دفاع</w:t>
      </w:r>
    </w:p>
    <w:p>
      <w:pPr>
        <w:pStyle w:val="Heading1"/>
        <w:keepNext/>
        <w:spacing w:before="200" w:after="100" w:line="276" w:lineRule="auto"/>
        <w:jc w:val="right"/>
        <w:pageBreakBefore w:val="0"/>
        <w:bidi w:val="1"/>
      </w:pPr>
      <w:r>
        <w:rPr>
          <w:rFonts w:ascii="Noto Naskh Arabic" w:hAnsi="Noto Naskh Arabic" w:eastAsia="Noto Naskh Arabic" w:cs="Noto Naskh Arabic"/>
          <w:b/>
          <w:color w:val="000000"/>
          <w:sz w:val="30"/>
          <w:rtl w:val="1"/>
        </w:rPr>
        <w:t>نتایج ارزیابی آزمایشگاهی</w:t>
      </w:r>
    </w:p>
    <w:p>
      <w:pPr>
        <w:keepNext w:val="0"/>
        <w:spacing w:before="0" w:after="120" w:line="324" w:lineRule="auto"/>
        <w:jc w:val="right"/>
        <w:bidi w:val="1"/>
      </w:pPr>
      <w:r>
        <w:rPr>
          <w:rFonts w:ascii="Noto Naskh Arabic" w:hAnsi="Noto Naskh Arabic" w:eastAsia="Noto Naskh Arabic" w:cs="Noto Naskh Arabic"/>
          <w:b w:val="0"/>
          <w:color w:val="000000"/>
          <w:sz w:val="24"/>
          <w:rtl w:val="1"/>
        </w:rPr>
        <w:t>در ارزیابی مستقل Mininet تعداد ۴۴۸ نمونه عادی و ۴۴۸ نمونه حمله بررسی شد. روش پیشنهادی همه نمونه های حمله را شناسایی کرد. تعداد ۵۰ نمونه عادی به اشتباه ناهنجار تشخیص داده شد که علت اصلی آن در تحلیل بعدی به نمونه برداری جریان های کوتاه در مرز پنجره زمانی مربوط بود.</w:t>
      </w:r>
    </w:p>
    <w:tbl>
      <w:tblPr>
        <w:tblW w:type="auto" w:w="0"/>
        <w:jc w:val="center"/>
        <w:tblLayout w:type="fixed"/>
        <w:tblLook w:firstColumn="1" w:firstRow="1" w:lastColumn="0" w:lastRow="0" w:noHBand="0" w:noVBand="1" w:val="04A0"/>
        <w:bidiVisual/>
      </w:tblPr>
      <w:tblGrid>
        <w:gridCol w:w="3293"/>
        <w:gridCol w:w="3293"/>
        <w:gridCol w:w="3293"/>
      </w:tblGrid>
      <w:tr>
        <w:trPr>
          <w:tblHeader/>
        </w:trPr>
        <w:tc>
          <w:tcPr>
            <w:tcW w:type="dxa" w:w="2232"/>
            <w:shd w:fill="1F4E78"/>
            <w:tcMar>
              <w:top w:w="130" w:type="dxa"/>
              <w:start w:w="120" w:type="dxa"/>
              <w:bottom w:w="13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keepNext w:val="0"/>
              <w:spacing w:before="0" w:after="0" w:line="264" w:lineRule="auto"/>
              <w:jc w:val="center"/>
              <w:bidi w:val="1"/>
            </w:pPr>
            <w:r/>
            <w:r>
              <w:rPr>
                <w:rFonts w:ascii="Noto Naskh Arabic" w:hAnsi="Noto Naskh Arabic" w:eastAsia="Noto Naskh Arabic" w:cs="Noto Naskh Arabic"/>
                <w:b/>
                <w:color w:val="FFFFFF"/>
                <w:sz w:val="21"/>
                <w:rtl w:val="1"/>
              </w:rPr>
              <w:t>معیار</w:t>
            </w:r>
          </w:p>
        </w:tc>
        <w:tc>
          <w:tcPr>
            <w:tcW w:type="dxa" w:w="1800"/>
            <w:shd w:fill="1F4E78"/>
            <w:tcMar>
              <w:top w:w="130" w:type="dxa"/>
              <w:start w:w="120" w:type="dxa"/>
              <w:bottom w:w="13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keepNext w:val="0"/>
              <w:spacing w:before="0" w:after="0" w:line="264" w:lineRule="auto"/>
              <w:jc w:val="center"/>
              <w:bidi w:val="1"/>
            </w:pPr>
            <w:r/>
            <w:r>
              <w:rPr>
                <w:rFonts w:ascii="Noto Naskh Arabic" w:hAnsi="Noto Naskh Arabic" w:eastAsia="Noto Naskh Arabic" w:cs="Noto Naskh Arabic"/>
                <w:b/>
                <w:color w:val="FFFFFF"/>
                <w:sz w:val="21"/>
                <w:rtl w:val="1"/>
              </w:rPr>
              <w:t>مقدار</w:t>
            </w:r>
          </w:p>
        </w:tc>
        <w:tc>
          <w:tcPr>
            <w:tcW w:type="dxa" w:w="6552"/>
            <w:shd w:fill="1F4E78"/>
            <w:tcMar>
              <w:top w:w="130" w:type="dxa"/>
              <w:start w:w="120" w:type="dxa"/>
              <w:bottom w:w="13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keepNext w:val="0"/>
              <w:spacing w:before="0" w:after="0" w:line="264" w:lineRule="auto"/>
              <w:jc w:val="center"/>
              <w:bidi w:val="1"/>
            </w:pPr>
            <w:r/>
            <w:r>
              <w:rPr>
                <w:rFonts w:ascii="Noto Naskh Arabic" w:hAnsi="Noto Naskh Arabic" w:eastAsia="Noto Naskh Arabic" w:cs="Noto Naskh Arabic"/>
                <w:b/>
                <w:color w:val="FFFFFF"/>
                <w:sz w:val="21"/>
                <w:rtl w:val="1"/>
              </w:rPr>
              <w:t>تفسیر</w:t>
            </w:r>
          </w:p>
        </w:tc>
      </w:tr>
      <w:tr>
        <w:tc>
          <w:tcPr>
            <w:tcW w:type="dxa" w:w="2232"/>
            <w:shd w:fill="FFFFFF"/>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keepNext w:val="0"/>
              <w:spacing w:before="0" w:after="0" w:line="276" w:lineRule="auto"/>
              <w:jc w:val="center"/>
              <w:bidi w:val="1"/>
            </w:pPr>
            <w:r/>
            <w:r>
              <w:rPr>
                <w:rFonts w:ascii="Noto Naskh Arabic" w:hAnsi="Noto Naskh Arabic" w:eastAsia="Noto Naskh Arabic" w:cs="Noto Naskh Arabic"/>
                <w:color w:val="000000"/>
                <w:sz w:val="21"/>
                <w:rtl w:val="1"/>
              </w:rPr>
              <w:t>Recall</w:t>
            </w:r>
          </w:p>
        </w:tc>
        <w:tc>
          <w:tcPr>
            <w:tcW w:type="dxa" w:w="1800"/>
            <w:shd w:fill="FFFFFF"/>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keepNext w:val="0"/>
              <w:spacing w:before="0" w:after="0" w:line="276" w:lineRule="auto"/>
              <w:jc w:val="center"/>
              <w:bidi w:val="1"/>
            </w:pPr>
            <w:r/>
            <w:r>
              <w:rPr>
                <w:rFonts w:ascii="Noto Naskh Arabic" w:hAnsi="Noto Naskh Arabic" w:eastAsia="Noto Naskh Arabic" w:cs="Noto Naskh Arabic"/>
                <w:color w:val="000000"/>
                <w:sz w:val="21"/>
                <w:rtl w:val="1"/>
              </w:rPr>
              <w:t>۱۰۰ درصد</w:t>
            </w:r>
          </w:p>
        </w:tc>
        <w:tc>
          <w:tcPr>
            <w:tcW w:type="dxa" w:w="6552"/>
            <w:shd w:fill="FFFFFF"/>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keepNext w:val="0"/>
              <w:spacing w:before="0" w:after="0" w:line="276" w:lineRule="auto"/>
              <w:jc w:val="center"/>
              <w:bidi w:val="1"/>
            </w:pPr>
            <w:r/>
            <w:r>
              <w:rPr>
                <w:rFonts w:ascii="Noto Naskh Arabic" w:hAnsi="Noto Naskh Arabic" w:eastAsia="Noto Naskh Arabic" w:cs="Noto Naskh Arabic"/>
                <w:color w:val="000000"/>
                <w:sz w:val="21"/>
                <w:rtl w:val="1"/>
              </w:rPr>
              <w:t>هیچ نمونه حمله ای از دست نرفت</w:t>
            </w:r>
          </w:p>
        </w:tc>
      </w:tr>
      <w:tr>
        <w:tc>
          <w:tcPr>
            <w:tcW w:type="dxa" w:w="2232"/>
            <w:shd w:fill="EDF4F8"/>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keepNext w:val="0"/>
              <w:spacing w:before="0" w:after="0" w:line="276" w:lineRule="auto"/>
              <w:jc w:val="center"/>
              <w:bidi w:val="1"/>
            </w:pPr>
            <w:r/>
            <w:r>
              <w:rPr>
                <w:rFonts w:ascii="Noto Naskh Arabic" w:hAnsi="Noto Naskh Arabic" w:eastAsia="Noto Naskh Arabic" w:cs="Noto Naskh Arabic"/>
                <w:color w:val="000000"/>
                <w:sz w:val="21"/>
                <w:rtl w:val="1"/>
              </w:rPr>
              <w:t>Precision</w:t>
            </w:r>
          </w:p>
        </w:tc>
        <w:tc>
          <w:tcPr>
            <w:tcW w:type="dxa" w:w="1800"/>
            <w:shd w:fill="EDF4F8"/>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keepNext w:val="0"/>
              <w:spacing w:before="0" w:after="0" w:line="276" w:lineRule="auto"/>
              <w:jc w:val="center"/>
              <w:bidi w:val="1"/>
            </w:pPr>
            <w:r/>
            <w:r>
              <w:rPr>
                <w:rFonts w:ascii="Noto Naskh Arabic" w:hAnsi="Noto Naskh Arabic" w:eastAsia="Noto Naskh Arabic" w:cs="Noto Naskh Arabic"/>
                <w:color w:val="000000"/>
                <w:sz w:val="21"/>
                <w:rtl w:val="1"/>
              </w:rPr>
              <w:t>حدود ۹۰ درصد</w:t>
            </w:r>
          </w:p>
        </w:tc>
        <w:tc>
          <w:tcPr>
            <w:tcW w:type="dxa" w:w="6552"/>
            <w:shd w:fill="EDF4F8"/>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keepNext w:val="0"/>
              <w:spacing w:before="0" w:after="0" w:line="276" w:lineRule="auto"/>
              <w:jc w:val="center"/>
              <w:bidi w:val="1"/>
            </w:pPr>
            <w:r/>
            <w:r>
              <w:rPr>
                <w:rFonts w:ascii="Noto Naskh Arabic" w:hAnsi="Noto Naskh Arabic" w:eastAsia="Noto Naskh Arabic" w:cs="Noto Naskh Arabic"/>
                <w:color w:val="000000"/>
                <w:sz w:val="21"/>
                <w:rtl w:val="1"/>
              </w:rPr>
              <w:t>بخش عمده هشدارها مربوط به حمله بود</w:t>
            </w:r>
          </w:p>
        </w:tc>
      </w:tr>
      <w:tr>
        <w:tc>
          <w:tcPr>
            <w:tcW w:type="dxa" w:w="2232"/>
            <w:shd w:fill="FFFFFF"/>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keepNext w:val="0"/>
              <w:spacing w:before="0" w:after="0" w:line="276" w:lineRule="auto"/>
              <w:jc w:val="center"/>
              <w:bidi w:val="1"/>
            </w:pPr>
            <w:r/>
            <w:r>
              <w:rPr>
                <w:rFonts w:ascii="Noto Naskh Arabic" w:hAnsi="Noto Naskh Arabic" w:eastAsia="Noto Naskh Arabic" w:cs="Noto Naskh Arabic"/>
                <w:color w:val="000000"/>
                <w:sz w:val="21"/>
                <w:rtl w:val="1"/>
              </w:rPr>
              <w:t>F1</w:t>
            </w:r>
          </w:p>
        </w:tc>
        <w:tc>
          <w:tcPr>
            <w:tcW w:type="dxa" w:w="1800"/>
            <w:shd w:fill="FFFFFF"/>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keepNext w:val="0"/>
              <w:spacing w:before="0" w:after="0" w:line="276" w:lineRule="auto"/>
              <w:jc w:val="center"/>
              <w:bidi w:val="1"/>
            </w:pPr>
            <w:r/>
            <w:r>
              <w:rPr>
                <w:rFonts w:ascii="Noto Naskh Arabic" w:hAnsi="Noto Naskh Arabic" w:eastAsia="Noto Naskh Arabic" w:cs="Noto Naskh Arabic"/>
                <w:color w:val="000000"/>
                <w:sz w:val="21"/>
                <w:rtl w:val="1"/>
              </w:rPr>
              <w:t>۹۴٫۷۱ درصد</w:t>
            </w:r>
          </w:p>
        </w:tc>
        <w:tc>
          <w:tcPr>
            <w:tcW w:type="dxa" w:w="6552"/>
            <w:shd w:fill="FFFFFF"/>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keepNext w:val="0"/>
              <w:spacing w:before="0" w:after="0" w:line="276" w:lineRule="auto"/>
              <w:jc w:val="center"/>
              <w:bidi w:val="1"/>
            </w:pPr>
            <w:r/>
            <w:r>
              <w:rPr>
                <w:rFonts w:ascii="Noto Naskh Arabic" w:hAnsi="Noto Naskh Arabic" w:eastAsia="Noto Naskh Arabic" w:cs="Noto Naskh Arabic"/>
                <w:color w:val="000000"/>
                <w:sz w:val="21"/>
                <w:rtl w:val="1"/>
              </w:rPr>
              <w:t>توازن مناسب میان Precision و Recall</w:t>
            </w:r>
          </w:p>
        </w:tc>
      </w:tr>
      <w:tr>
        <w:tc>
          <w:tcPr>
            <w:tcW w:type="dxa" w:w="2232"/>
            <w:shd w:fill="EDF4F8"/>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keepNext w:val="0"/>
              <w:spacing w:before="0" w:after="0" w:line="276" w:lineRule="auto"/>
              <w:jc w:val="center"/>
              <w:bidi w:val="1"/>
            </w:pPr>
            <w:r/>
            <w:r>
              <w:rPr>
                <w:rFonts w:ascii="Noto Naskh Arabic" w:hAnsi="Noto Naskh Arabic" w:eastAsia="Noto Naskh Arabic" w:cs="Noto Naskh Arabic"/>
                <w:color w:val="000000"/>
                <w:sz w:val="21"/>
                <w:rtl w:val="1"/>
              </w:rPr>
              <w:t>Specificity</w:t>
            </w:r>
          </w:p>
        </w:tc>
        <w:tc>
          <w:tcPr>
            <w:tcW w:type="dxa" w:w="1800"/>
            <w:shd w:fill="EDF4F8"/>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keepNext w:val="0"/>
              <w:spacing w:before="0" w:after="0" w:line="276" w:lineRule="auto"/>
              <w:jc w:val="center"/>
              <w:bidi w:val="1"/>
            </w:pPr>
            <w:r/>
            <w:r>
              <w:rPr>
                <w:rFonts w:ascii="Noto Naskh Arabic" w:hAnsi="Noto Naskh Arabic" w:eastAsia="Noto Naskh Arabic" w:cs="Noto Naskh Arabic"/>
                <w:color w:val="000000"/>
                <w:sz w:val="21"/>
                <w:rtl w:val="1"/>
              </w:rPr>
              <w:t>۸۸٫۸۴ درصد</w:t>
            </w:r>
          </w:p>
        </w:tc>
        <w:tc>
          <w:tcPr>
            <w:tcW w:type="dxa" w:w="6552"/>
            <w:shd w:fill="EDF4F8"/>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keepNext w:val="0"/>
              <w:spacing w:before="0" w:after="0" w:line="276" w:lineRule="auto"/>
              <w:jc w:val="center"/>
              <w:bidi w:val="1"/>
            </w:pPr>
            <w:r/>
            <w:r>
              <w:rPr>
                <w:rFonts w:ascii="Noto Naskh Arabic" w:hAnsi="Noto Naskh Arabic" w:eastAsia="Noto Naskh Arabic" w:cs="Noto Naskh Arabic"/>
                <w:color w:val="000000"/>
                <w:sz w:val="21"/>
                <w:rtl w:val="1"/>
              </w:rPr>
              <w:t>اکثر نمونه های عادی درست تشخیص داده شدند</w:t>
            </w:r>
          </w:p>
        </w:tc>
      </w:tr>
      <w:tr>
        <w:tc>
          <w:tcPr>
            <w:tcW w:type="dxa" w:w="2232"/>
            <w:shd w:fill="FFFFFF"/>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keepNext w:val="0"/>
              <w:spacing w:before="0" w:after="0" w:line="276" w:lineRule="auto"/>
              <w:jc w:val="center"/>
              <w:bidi w:val="1"/>
            </w:pPr>
            <w:r/>
            <w:r>
              <w:rPr>
                <w:rFonts w:ascii="Noto Naskh Arabic" w:hAnsi="Noto Naskh Arabic" w:eastAsia="Noto Naskh Arabic" w:cs="Noto Naskh Arabic"/>
                <w:color w:val="000000"/>
                <w:sz w:val="21"/>
                <w:rtl w:val="1"/>
              </w:rPr>
              <w:t>Balanced Accuracy</w:t>
            </w:r>
          </w:p>
        </w:tc>
        <w:tc>
          <w:tcPr>
            <w:tcW w:type="dxa" w:w="1800"/>
            <w:shd w:fill="FFFFFF"/>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keepNext w:val="0"/>
              <w:spacing w:before="0" w:after="0" w:line="276" w:lineRule="auto"/>
              <w:jc w:val="center"/>
              <w:bidi w:val="1"/>
            </w:pPr>
            <w:r/>
            <w:r>
              <w:rPr>
                <w:rFonts w:ascii="Noto Naskh Arabic" w:hAnsi="Noto Naskh Arabic" w:eastAsia="Noto Naskh Arabic" w:cs="Noto Naskh Arabic"/>
                <w:color w:val="000000"/>
                <w:sz w:val="21"/>
                <w:rtl w:val="1"/>
              </w:rPr>
              <w:t>۹۴٫۴۲ درصد</w:t>
            </w:r>
          </w:p>
        </w:tc>
        <w:tc>
          <w:tcPr>
            <w:tcW w:type="dxa" w:w="6552"/>
            <w:shd w:fill="FFFFFF"/>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keepNext w:val="0"/>
              <w:spacing w:before="0" w:after="0" w:line="276" w:lineRule="auto"/>
              <w:jc w:val="center"/>
              <w:bidi w:val="1"/>
            </w:pPr>
            <w:r/>
            <w:r>
              <w:rPr>
                <w:rFonts w:ascii="Noto Naskh Arabic" w:hAnsi="Noto Naskh Arabic" w:eastAsia="Noto Naskh Arabic" w:cs="Noto Naskh Arabic"/>
                <w:color w:val="000000"/>
                <w:sz w:val="21"/>
                <w:rtl w:val="1"/>
              </w:rPr>
              <w:t>عملکرد متوازن روی دو کلاس</w:t>
            </w:r>
          </w:p>
        </w:tc>
      </w:tr>
      <w:tr>
        <w:tc>
          <w:tcPr>
            <w:tcW w:type="dxa" w:w="2232"/>
            <w:shd w:fill="EDF4F8"/>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keepNext w:val="0"/>
              <w:spacing w:before="0" w:after="0" w:line="276" w:lineRule="auto"/>
              <w:jc w:val="center"/>
              <w:bidi w:val="1"/>
            </w:pPr>
            <w:r/>
            <w:r>
              <w:rPr>
                <w:rFonts w:ascii="Noto Naskh Arabic" w:hAnsi="Noto Naskh Arabic" w:eastAsia="Noto Naskh Arabic" w:cs="Noto Naskh Arabic"/>
                <w:color w:val="000000"/>
                <w:sz w:val="21"/>
                <w:rtl w:val="1"/>
              </w:rPr>
              <w:t>FPR</w:t>
            </w:r>
          </w:p>
        </w:tc>
        <w:tc>
          <w:tcPr>
            <w:tcW w:type="dxa" w:w="1800"/>
            <w:shd w:fill="EDF4F8"/>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keepNext w:val="0"/>
              <w:spacing w:before="0" w:after="0" w:line="276" w:lineRule="auto"/>
              <w:jc w:val="center"/>
              <w:bidi w:val="1"/>
            </w:pPr>
            <w:r/>
            <w:r>
              <w:rPr>
                <w:rFonts w:ascii="Noto Naskh Arabic" w:hAnsi="Noto Naskh Arabic" w:eastAsia="Noto Naskh Arabic" w:cs="Noto Naskh Arabic"/>
                <w:color w:val="000000"/>
                <w:sz w:val="21"/>
                <w:rtl w:val="1"/>
              </w:rPr>
              <w:t>۱۱٫۱۶ درصد</w:t>
            </w:r>
          </w:p>
        </w:tc>
        <w:tc>
          <w:tcPr>
            <w:tcW w:type="dxa" w:w="6552"/>
            <w:shd w:fill="EDF4F8"/>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keepNext w:val="0"/>
              <w:spacing w:before="0" w:after="0" w:line="276" w:lineRule="auto"/>
              <w:jc w:val="center"/>
              <w:bidi w:val="1"/>
            </w:pPr>
            <w:r/>
            <w:r>
              <w:rPr>
                <w:rFonts w:ascii="Noto Naskh Arabic" w:hAnsi="Noto Naskh Arabic" w:eastAsia="Noto Naskh Arabic" w:cs="Noto Naskh Arabic"/>
                <w:color w:val="000000"/>
                <w:sz w:val="21"/>
                <w:rtl w:val="1"/>
              </w:rPr>
              <w:t>مهم ترین محدودیت نتیجه آزمایشگاهی</w:t>
            </w:r>
          </w:p>
        </w:tc>
      </w:tr>
    </w:tbl>
    <w:p>
      <w:pPr>
        <w:spacing w:after="40"/>
      </w:pPr>
    </w:p>
    <w:p>
      <w:r>
        <w:br w:type="page"/>
      </w:r>
    </w:p>
    <w:p>
      <w:pPr>
        <w:pStyle w:val="Heading1"/>
        <w:keepNext/>
        <w:spacing w:before="200" w:after="100" w:line="276" w:lineRule="auto"/>
        <w:jc w:val="right"/>
        <w:pageBreakBefore w:val="0"/>
        <w:bidi w:val="1"/>
      </w:pPr>
      <w:r>
        <w:rPr>
          <w:rFonts w:ascii="Noto Naskh Arabic" w:hAnsi="Noto Naskh Arabic" w:eastAsia="Noto Naskh Arabic" w:cs="Noto Naskh Arabic"/>
          <w:b/>
          <w:color w:val="000000"/>
          <w:sz w:val="30"/>
          <w:rtl w:val="1"/>
        </w:rPr>
        <w:t>نتایج ارزیابی خارجی InSDN</w:t>
      </w:r>
    </w:p>
    <w:p>
      <w:pPr>
        <w:keepNext w:val="0"/>
        <w:spacing w:before="0" w:after="120" w:line="324" w:lineRule="auto"/>
        <w:jc w:val="right"/>
        <w:bidi w:val="1"/>
      </w:pPr>
      <w:r>
        <w:rPr>
          <w:rFonts w:ascii="Noto Naskh Arabic" w:hAnsi="Noto Naskh Arabic" w:eastAsia="Noto Naskh Arabic" w:cs="Noto Naskh Arabic"/>
          <w:b w:val="0"/>
          <w:color w:val="000000"/>
          <w:sz w:val="24"/>
          <w:rtl w:val="1"/>
        </w:rPr>
        <w:t>برای جلوگیری از وابستگی نتیجه به یک تقسیم تصادفی، ارزیابی خارجی در پنج تقسیم مستقل انجام شد. آستانه ها فقط با داده عادی کالیبراسیون انتخاب شدند و برچسب حمله در انتخاب مدل دخالت نداشت. مدل دونما در هر پنج تقسیم Recall بیشتری از روش پایه به دست آورد.</w:t>
      </w:r>
    </w:p>
    <w:tbl>
      <w:tblPr>
        <w:tblW w:type="auto" w:w="0"/>
        <w:jc w:val="center"/>
        <w:tblLayout w:type="fixed"/>
        <w:tblLook w:firstColumn="1" w:firstRow="1" w:lastColumn="0" w:lastRow="0" w:noHBand="0" w:noVBand="1" w:val="04A0"/>
        <w:bidiVisual/>
      </w:tblPr>
      <w:tblGrid>
        <w:gridCol w:w="1976"/>
        <w:gridCol w:w="1976"/>
        <w:gridCol w:w="1976"/>
        <w:gridCol w:w="1976"/>
        <w:gridCol w:w="1976"/>
      </w:tblGrid>
      <w:tr>
        <w:trPr>
          <w:tblHeader/>
        </w:trPr>
        <w:tc>
          <w:tcPr>
            <w:tcW w:type="dxa" w:w="1728"/>
            <w:shd w:fill="1F4E78"/>
            <w:tcMar>
              <w:top w:w="130" w:type="dxa"/>
              <w:start w:w="120" w:type="dxa"/>
              <w:bottom w:w="13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keepNext w:val="0"/>
              <w:spacing w:before="0" w:after="0" w:line="264" w:lineRule="auto"/>
              <w:jc w:val="center"/>
              <w:bidi w:val="1"/>
            </w:pPr>
            <w:r/>
            <w:r>
              <w:rPr>
                <w:rFonts w:ascii="Noto Naskh Arabic" w:hAnsi="Noto Naskh Arabic" w:eastAsia="Noto Naskh Arabic" w:cs="Noto Naskh Arabic"/>
                <w:b/>
                <w:color w:val="FFFFFF"/>
                <w:sz w:val="21"/>
                <w:rtl w:val="1"/>
              </w:rPr>
              <w:t>مدل</w:t>
            </w:r>
          </w:p>
        </w:tc>
        <w:tc>
          <w:tcPr>
            <w:tcW w:type="dxa" w:w="2232"/>
            <w:shd w:fill="1F4E78"/>
            <w:tcMar>
              <w:top w:w="130" w:type="dxa"/>
              <w:start w:w="120" w:type="dxa"/>
              <w:bottom w:w="13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keepNext w:val="0"/>
              <w:spacing w:before="0" w:after="0" w:line="264" w:lineRule="auto"/>
              <w:jc w:val="center"/>
              <w:bidi w:val="1"/>
            </w:pPr>
            <w:r/>
            <w:r>
              <w:rPr>
                <w:rFonts w:ascii="Noto Naskh Arabic" w:hAnsi="Noto Naskh Arabic" w:eastAsia="Noto Naskh Arabic" w:cs="Noto Naskh Arabic"/>
                <w:b/>
                <w:color w:val="FFFFFF"/>
                <w:sz w:val="21"/>
                <w:rtl w:val="1"/>
              </w:rPr>
              <w:t>Recall</w:t>
            </w:r>
          </w:p>
        </w:tc>
        <w:tc>
          <w:tcPr>
            <w:tcW w:type="dxa" w:w="2088"/>
            <w:shd w:fill="1F4E78"/>
            <w:tcMar>
              <w:top w:w="130" w:type="dxa"/>
              <w:start w:w="120" w:type="dxa"/>
              <w:bottom w:w="13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keepNext w:val="0"/>
              <w:spacing w:before="0" w:after="0" w:line="264" w:lineRule="auto"/>
              <w:jc w:val="center"/>
              <w:bidi w:val="1"/>
            </w:pPr>
            <w:r/>
            <w:r>
              <w:rPr>
                <w:rFonts w:ascii="Noto Naskh Arabic" w:hAnsi="Noto Naskh Arabic" w:eastAsia="Noto Naskh Arabic" w:cs="Noto Naskh Arabic"/>
                <w:b/>
                <w:color w:val="FFFFFF"/>
                <w:sz w:val="21"/>
                <w:rtl w:val="1"/>
              </w:rPr>
              <w:t>FPR</w:t>
            </w:r>
          </w:p>
        </w:tc>
        <w:tc>
          <w:tcPr>
            <w:tcW w:type="dxa" w:w="2160"/>
            <w:shd w:fill="1F4E78"/>
            <w:tcMar>
              <w:top w:w="130" w:type="dxa"/>
              <w:start w:w="120" w:type="dxa"/>
              <w:bottom w:w="13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keepNext w:val="0"/>
              <w:spacing w:before="0" w:after="0" w:line="264" w:lineRule="auto"/>
              <w:jc w:val="center"/>
              <w:bidi w:val="1"/>
            </w:pPr>
            <w:r/>
            <w:r>
              <w:rPr>
                <w:rFonts w:ascii="Noto Naskh Arabic" w:hAnsi="Noto Naskh Arabic" w:eastAsia="Noto Naskh Arabic" w:cs="Noto Naskh Arabic"/>
                <w:b/>
                <w:color w:val="FFFFFF"/>
                <w:sz w:val="21"/>
                <w:rtl w:val="1"/>
              </w:rPr>
              <w:t>F1</w:t>
            </w:r>
          </w:p>
        </w:tc>
        <w:tc>
          <w:tcPr>
            <w:tcW w:type="dxa" w:w="2376"/>
            <w:shd w:fill="1F4E78"/>
            <w:tcMar>
              <w:top w:w="130" w:type="dxa"/>
              <w:start w:w="120" w:type="dxa"/>
              <w:bottom w:w="13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keepNext w:val="0"/>
              <w:spacing w:before="0" w:after="0" w:line="264" w:lineRule="auto"/>
              <w:jc w:val="center"/>
              <w:bidi w:val="1"/>
            </w:pPr>
            <w:r/>
            <w:r>
              <w:rPr>
                <w:rFonts w:ascii="Noto Naskh Arabic" w:hAnsi="Noto Naskh Arabic" w:eastAsia="Noto Naskh Arabic" w:cs="Noto Naskh Arabic"/>
                <w:b/>
                <w:color w:val="FFFFFF"/>
                <w:sz w:val="21"/>
                <w:rtl w:val="1"/>
              </w:rPr>
              <w:t>Balanced Accuracy</w:t>
            </w:r>
          </w:p>
        </w:tc>
      </w:tr>
      <w:tr>
        <w:tc>
          <w:tcPr>
            <w:tcW w:type="dxa" w:w="1728"/>
            <w:shd w:fill="FFFFFF"/>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keepNext w:val="0"/>
              <w:spacing w:before="0" w:after="0" w:line="276" w:lineRule="auto"/>
              <w:jc w:val="center"/>
              <w:bidi w:val="1"/>
            </w:pPr>
            <w:r/>
            <w:r>
              <w:rPr>
                <w:rFonts w:ascii="Noto Naskh Arabic" w:hAnsi="Noto Naskh Arabic" w:eastAsia="Noto Naskh Arabic" w:cs="Noto Naskh Arabic"/>
                <w:color w:val="000000"/>
                <w:sz w:val="21"/>
                <w:rtl w:val="1"/>
              </w:rPr>
              <w:t>روش پایه</w:t>
            </w:r>
          </w:p>
        </w:tc>
        <w:tc>
          <w:tcPr>
            <w:tcW w:type="dxa" w:w="2232"/>
            <w:shd w:fill="FFFFFF"/>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keepNext w:val="0"/>
              <w:spacing w:before="0" w:after="0" w:line="276" w:lineRule="auto"/>
              <w:jc w:val="center"/>
              <w:bidi w:val="1"/>
            </w:pPr>
            <w:r/>
            <w:r>
              <w:rPr>
                <w:rFonts w:ascii="Noto Naskh Arabic" w:hAnsi="Noto Naskh Arabic" w:eastAsia="Noto Naskh Arabic" w:cs="Noto Naskh Arabic"/>
                <w:color w:val="000000"/>
                <w:sz w:val="21"/>
                <w:rtl w:val="1"/>
              </w:rPr>
              <w:t>میانگین ۵۳٫۹۱ درصد</w:t>
              <w:br/>
              <w:t>انحراف معیار ۰٫۶۵</w:t>
            </w:r>
          </w:p>
        </w:tc>
        <w:tc>
          <w:tcPr>
            <w:tcW w:type="dxa" w:w="2088"/>
            <w:shd w:fill="FFFFFF"/>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keepNext w:val="0"/>
              <w:spacing w:before="0" w:after="0" w:line="276" w:lineRule="auto"/>
              <w:jc w:val="center"/>
              <w:bidi w:val="1"/>
            </w:pPr>
            <w:r/>
            <w:r>
              <w:rPr>
                <w:rFonts w:ascii="Noto Naskh Arabic" w:hAnsi="Noto Naskh Arabic" w:eastAsia="Noto Naskh Arabic" w:cs="Noto Naskh Arabic"/>
                <w:color w:val="000000"/>
                <w:sz w:val="21"/>
                <w:rtl w:val="1"/>
              </w:rPr>
              <w:t>میانگین ۴٫۵۷ درصد</w:t>
              <w:br/>
              <w:t>انحراف معیار ۰٫۴۷</w:t>
            </w:r>
          </w:p>
        </w:tc>
        <w:tc>
          <w:tcPr>
            <w:tcW w:type="dxa" w:w="2160"/>
            <w:shd w:fill="FFFFFF"/>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keepNext w:val="0"/>
              <w:spacing w:before="0" w:after="0" w:line="276" w:lineRule="auto"/>
              <w:jc w:val="center"/>
              <w:bidi w:val="1"/>
            </w:pPr>
            <w:r/>
            <w:r>
              <w:rPr>
                <w:rFonts w:ascii="Noto Naskh Arabic" w:hAnsi="Noto Naskh Arabic" w:eastAsia="Noto Naskh Arabic" w:cs="Noto Naskh Arabic"/>
                <w:color w:val="000000"/>
                <w:sz w:val="21"/>
                <w:rtl w:val="1"/>
              </w:rPr>
              <w:t>میانگین ۶۷٫۹۶ درصد</w:t>
              <w:br/>
              <w:t>انحراف معیار ۰٫۳۹</w:t>
            </w:r>
          </w:p>
        </w:tc>
        <w:tc>
          <w:tcPr>
            <w:tcW w:type="dxa" w:w="2376"/>
            <w:shd w:fill="FFFFFF"/>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keepNext w:val="0"/>
              <w:spacing w:before="0" w:after="0" w:line="276" w:lineRule="auto"/>
              <w:jc w:val="center"/>
              <w:bidi w:val="1"/>
            </w:pPr>
            <w:r/>
            <w:r>
              <w:rPr>
                <w:rFonts w:ascii="Noto Naskh Arabic" w:hAnsi="Noto Naskh Arabic" w:eastAsia="Noto Naskh Arabic" w:cs="Noto Naskh Arabic"/>
                <w:color w:val="000000"/>
                <w:sz w:val="21"/>
                <w:rtl w:val="1"/>
              </w:rPr>
              <w:t>میانگین ۷۴٫۶۳ درصد</w:t>
              <w:br/>
              <w:t>انحراف معیار ۰٫۲۲</w:t>
            </w:r>
          </w:p>
        </w:tc>
      </w:tr>
      <w:tr>
        <w:tc>
          <w:tcPr>
            <w:tcW w:type="dxa" w:w="1728"/>
            <w:shd w:fill="EDF4F8"/>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keepNext w:val="0"/>
              <w:spacing w:before="0" w:after="0" w:line="276" w:lineRule="auto"/>
              <w:jc w:val="center"/>
              <w:bidi w:val="1"/>
            </w:pPr>
            <w:r/>
            <w:r>
              <w:rPr>
                <w:rFonts w:ascii="Noto Naskh Arabic" w:hAnsi="Noto Naskh Arabic" w:eastAsia="Noto Naskh Arabic" w:cs="Noto Naskh Arabic"/>
                <w:color w:val="000000"/>
                <w:sz w:val="21"/>
                <w:rtl w:val="1"/>
              </w:rPr>
              <w:t>مدل دونما</w:t>
            </w:r>
          </w:p>
        </w:tc>
        <w:tc>
          <w:tcPr>
            <w:tcW w:type="dxa" w:w="2232"/>
            <w:shd w:fill="EDF4F8"/>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keepNext w:val="0"/>
              <w:spacing w:before="0" w:after="0" w:line="276" w:lineRule="auto"/>
              <w:jc w:val="center"/>
              <w:bidi w:val="1"/>
            </w:pPr>
            <w:r/>
            <w:r>
              <w:rPr>
                <w:rFonts w:ascii="Noto Naskh Arabic" w:hAnsi="Noto Naskh Arabic" w:eastAsia="Noto Naskh Arabic" w:cs="Noto Naskh Arabic"/>
                <w:color w:val="000000"/>
                <w:sz w:val="21"/>
                <w:rtl w:val="1"/>
              </w:rPr>
              <w:t>میانگین ۹۵٫۶۲ درصد</w:t>
              <w:br/>
              <w:t>انحراف معیار ۵٫۶۵</w:t>
            </w:r>
          </w:p>
        </w:tc>
        <w:tc>
          <w:tcPr>
            <w:tcW w:type="dxa" w:w="2088"/>
            <w:shd w:fill="EDF4F8"/>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keepNext w:val="0"/>
              <w:spacing w:before="0" w:after="0" w:line="276" w:lineRule="auto"/>
              <w:jc w:val="center"/>
              <w:bidi w:val="1"/>
            </w:pPr>
            <w:r/>
            <w:r>
              <w:rPr>
                <w:rFonts w:ascii="Noto Naskh Arabic" w:hAnsi="Noto Naskh Arabic" w:eastAsia="Noto Naskh Arabic" w:cs="Noto Naskh Arabic"/>
                <w:color w:val="000000"/>
                <w:sz w:val="21"/>
                <w:rtl w:val="1"/>
              </w:rPr>
              <w:t>میانگین ۴٫۹۹ درصد</w:t>
              <w:br/>
              <w:t>انحراف معیار ۱٫۰۱</w:t>
            </w:r>
          </w:p>
        </w:tc>
        <w:tc>
          <w:tcPr>
            <w:tcW w:type="dxa" w:w="2160"/>
            <w:shd w:fill="EDF4F8"/>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keepNext w:val="0"/>
              <w:spacing w:before="0" w:after="0" w:line="276" w:lineRule="auto"/>
              <w:jc w:val="center"/>
              <w:bidi w:val="1"/>
            </w:pPr>
            <w:r/>
            <w:r>
              <w:rPr>
                <w:rFonts w:ascii="Noto Naskh Arabic" w:hAnsi="Noto Naskh Arabic" w:eastAsia="Noto Naskh Arabic" w:cs="Noto Naskh Arabic"/>
                <w:color w:val="000000"/>
                <w:sz w:val="21"/>
                <w:rtl w:val="1"/>
              </w:rPr>
              <w:t>میانگین ۹۵٫۳۰ درصد</w:t>
              <w:br/>
              <w:t>انحراف معیار ۲٫۵۷</w:t>
            </w:r>
          </w:p>
        </w:tc>
        <w:tc>
          <w:tcPr>
            <w:tcW w:type="dxa" w:w="2376"/>
            <w:shd w:fill="EDF4F8"/>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keepNext w:val="0"/>
              <w:spacing w:before="0" w:after="0" w:line="276" w:lineRule="auto"/>
              <w:jc w:val="center"/>
              <w:bidi w:val="1"/>
            </w:pPr>
            <w:r/>
            <w:r>
              <w:rPr>
                <w:rFonts w:ascii="Noto Naskh Arabic" w:hAnsi="Noto Naskh Arabic" w:eastAsia="Noto Naskh Arabic" w:cs="Noto Naskh Arabic"/>
                <w:color w:val="000000"/>
                <w:sz w:val="21"/>
                <w:rtl w:val="1"/>
              </w:rPr>
              <w:t>میانگین ۹۵٫۳۶ درصد</w:t>
              <w:br/>
              <w:t>انحراف معیار ۲٫۳۵</w:t>
            </w:r>
          </w:p>
        </w:tc>
      </w:tr>
    </w:tbl>
    <w:p>
      <w:pPr>
        <w:spacing w:after="40"/>
      </w:pPr>
    </w:p>
    <w:p>
      <w:pPr>
        <w:keepNext w:val="0"/>
        <w:spacing w:before="0" w:after="160" w:line="324" w:lineRule="auto"/>
        <w:jc w:val="right"/>
        <w:bidi w:val="1"/>
      </w:pPr>
      <w:r>
        <w:rPr>
          <w:rFonts w:ascii="Noto Naskh Arabic" w:hAnsi="Noto Naskh Arabic" w:eastAsia="Noto Naskh Arabic" w:cs="Noto Naskh Arabic"/>
          <w:b w:val="0"/>
          <w:color w:val="000000"/>
          <w:sz w:val="24"/>
          <w:rtl w:val="1"/>
        </w:rPr>
        <w:t>مدل دونما Recall را به طور میانگین ۴۱٫۷۲ واحد درصد افزایش داد. این بهبود در هر پنج تقسیم مشاهده شد. عملکرد روی جریان های OVS پایدارتر بود و تغییرپذیری بیشتر در جریان های Metasploitable نشان می دهد که منشأ ترافیک و تفاوت الگوهای حمله همچنان بر نتیجه اثر دارند.</w:t>
      </w:r>
    </w:p>
    <w:p>
      <w:pPr>
        <w:keepNext/>
        <w:spacing w:before="0" w:after="80" w:line="240" w:lineRule="auto"/>
        <w:jc w:val="center"/>
        <w:bidi w:val="1"/>
      </w:pPr>
      <w:r>
        <w:drawing>
          <wp:inline xmlns:a="http://schemas.openxmlformats.org/drawingml/2006/main" xmlns:pic="http://schemas.openxmlformats.org/drawingml/2006/picture">
            <wp:extent cx="5212080" cy="3102429"/>
            <wp:docPr id="1" name="Picture 1"/>
            <wp:cNvGraphicFramePr>
              <a:graphicFrameLocks noChangeAspect="1"/>
            </wp:cNvGraphicFramePr>
            <a:graphic>
              <a:graphicData uri="http://schemas.openxmlformats.org/drawingml/2006/picture">
                <pic:pic>
                  <pic:nvPicPr>
                    <pic:cNvPr id="0" name="repeated_stability.png"/>
                    <pic:cNvPicPr/>
                  </pic:nvPicPr>
                  <pic:blipFill>
                    <a:blip r:embed="rId11"/>
                    <a:stretch>
                      <a:fillRect/>
                    </a:stretch>
                  </pic:blipFill>
                  <pic:spPr>
                    <a:xfrm>
                      <a:off x="0" y="0"/>
                      <a:ext cx="5212080" cy="3102429"/>
                    </a:xfrm>
                    <a:prstGeom prst="rect"/>
                  </pic:spPr>
                </pic:pic>
              </a:graphicData>
            </a:graphic>
          </wp:inline>
        </w:drawing>
      </w:r>
    </w:p>
    <w:p>
      <w:pPr>
        <w:keepNext w:val="0"/>
        <w:spacing w:before="0" w:after="80" w:line="264" w:lineRule="auto"/>
        <w:jc w:val="center"/>
        <w:bidi w:val="1"/>
      </w:pPr>
      <w:r>
        <w:rPr>
          <w:rFonts w:ascii="Noto Naskh Arabic" w:hAnsi="Noto Naskh Arabic" w:eastAsia="Noto Naskh Arabic" w:cs="Noto Naskh Arabic"/>
          <w:color w:val="000000"/>
          <w:sz w:val="19"/>
          <w:rtl w:val="1"/>
        </w:rPr>
        <w:t>شکل ۱ مقایسه پایداری روش پایه و مدل دونما در پنج تقسیم مستقل InSDN</w:t>
      </w:r>
    </w:p>
    <w:p>
      <w:r>
        <w:br w:type="page"/>
      </w:r>
    </w:p>
    <w:p>
      <w:pPr>
        <w:pStyle w:val="Heading1"/>
        <w:keepNext/>
        <w:spacing w:before="200" w:after="100" w:line="276" w:lineRule="auto"/>
        <w:jc w:val="right"/>
        <w:pageBreakBefore w:val="0"/>
        <w:bidi w:val="1"/>
      </w:pPr>
      <w:r>
        <w:rPr>
          <w:rFonts w:ascii="Noto Naskh Arabic" w:hAnsi="Noto Naskh Arabic" w:eastAsia="Noto Naskh Arabic" w:cs="Noto Naskh Arabic"/>
          <w:b/>
          <w:color w:val="000000"/>
          <w:sz w:val="30"/>
          <w:rtl w:val="1"/>
        </w:rPr>
        <w:t>تفسیر نتایج</w:t>
      </w:r>
    </w:p>
    <w:p>
      <w:pPr>
        <w:keepNext w:val="0"/>
        <w:spacing w:before="0" w:after="120" w:line="324" w:lineRule="auto"/>
        <w:jc w:val="right"/>
        <w:bidi w:val="1"/>
      </w:pPr>
      <w:r>
        <w:rPr>
          <w:rFonts w:ascii="Noto Naskh Arabic" w:hAnsi="Noto Naskh Arabic" w:eastAsia="Noto Naskh Arabic" w:cs="Noto Naskh Arabic"/>
          <w:b w:val="0"/>
          <w:color w:val="000000"/>
          <w:sz w:val="24"/>
          <w:rtl w:val="1"/>
        </w:rPr>
        <w:t>نتایج Mininet نشان می دهند که ویژگی های سبک جریان برای شناسایی حمله ICMP پرنرخ در یک محیط کنترل شده کافی بوده اند. ارزیابی InSDN نیز نشان داد که ترکیب دو نمای مکمل DBSCAN می تواند پوشش حملات متنوع تر را افزایش دهد. با این حال این نتیجه به معنای اثبات عملکرد برای همه انواع DDoS و همه شبکه های عملیاتی نیست. ارزیابی خارجی نقش تکمیلی دارد و جایگزین آزمایش اصلی Mininet نمی شود.</w:t>
      </w:r>
    </w:p>
    <w:p>
      <w:pPr>
        <w:pStyle w:val="Heading1"/>
        <w:keepNext/>
        <w:spacing w:before="200" w:after="100" w:line="276" w:lineRule="auto"/>
        <w:jc w:val="right"/>
        <w:pageBreakBefore w:val="0"/>
        <w:bidi w:val="1"/>
      </w:pPr>
      <w:r>
        <w:rPr>
          <w:rFonts w:ascii="Noto Naskh Arabic" w:hAnsi="Noto Naskh Arabic" w:eastAsia="Noto Naskh Arabic" w:cs="Noto Naskh Arabic"/>
          <w:b/>
          <w:color w:val="000000"/>
          <w:sz w:val="30"/>
          <w:rtl w:val="1"/>
        </w:rPr>
        <w:t>محدودیت های پژوهش</w:t>
      </w:r>
    </w:p>
    <w:p>
      <w:pPr>
        <w:keepNext w:val="0"/>
        <w:spacing w:before="0" w:after="60" w:line="312" w:lineRule="auto"/>
        <w:ind w:right="255" w:hanging="198"/>
        <w:jc w:val="right"/>
        <w:bidi w:val="1"/>
      </w:pPr>
      <w:r>
        <w:rPr>
          <w:rFonts w:ascii="Noto Naskh Arabic" w:hAnsi="Noto Naskh Arabic" w:eastAsia="Noto Naskh Arabic" w:cs="Noto Naskh Arabic"/>
          <w:color w:val="000000"/>
          <w:sz w:val="23"/>
          <w:rtl w:val="1"/>
        </w:rPr>
        <w:t>• سناریوی اصلی Mininet بر حمله ICMP پرنرخ در یک توپولوژی کوچک و کنترل شده متمرکز است</w:t>
      </w:r>
    </w:p>
    <w:p>
      <w:pPr>
        <w:keepNext w:val="0"/>
        <w:spacing w:before="0" w:after="60" w:line="312" w:lineRule="auto"/>
        <w:ind w:right="255" w:hanging="198"/>
        <w:jc w:val="right"/>
        <w:bidi w:val="1"/>
      </w:pPr>
      <w:r>
        <w:rPr>
          <w:rFonts w:ascii="Noto Naskh Arabic" w:hAnsi="Noto Naskh Arabic" w:eastAsia="Noto Naskh Arabic" w:cs="Noto Naskh Arabic"/>
          <w:color w:val="000000"/>
          <w:sz w:val="23"/>
          <w:rtl w:val="1"/>
        </w:rPr>
        <w:t>• نرخ مثبت کاذب ۱۱٫۱۶ درصد در آزمایش Mininet هنوز برای کاربرد عملی نیازمند کاهش است</w:t>
      </w:r>
    </w:p>
    <w:p>
      <w:pPr>
        <w:keepNext w:val="0"/>
        <w:spacing w:before="0" w:after="60" w:line="312" w:lineRule="auto"/>
        <w:ind w:right="255" w:hanging="198"/>
        <w:jc w:val="right"/>
        <w:bidi w:val="1"/>
      </w:pPr>
      <w:r>
        <w:rPr>
          <w:rFonts w:ascii="Noto Naskh Arabic" w:hAnsi="Noto Naskh Arabic" w:eastAsia="Noto Naskh Arabic" w:cs="Noto Naskh Arabic"/>
          <w:color w:val="000000"/>
          <w:sz w:val="23"/>
          <w:rtl w:val="1"/>
        </w:rPr>
        <w:t>• مدل از تعداد محدودی ویژگی جریان استفاده می کند و رفتار انواع دیگر DDoS به طور مستقیم در محیط Mininet آزمایش نشده است</w:t>
      </w:r>
    </w:p>
    <w:p>
      <w:pPr>
        <w:keepNext w:val="0"/>
        <w:spacing w:before="0" w:after="60" w:line="312" w:lineRule="auto"/>
        <w:ind w:right="255" w:hanging="198"/>
        <w:jc w:val="right"/>
        <w:bidi w:val="1"/>
      </w:pPr>
      <w:r>
        <w:rPr>
          <w:rFonts w:ascii="Noto Naskh Arabic" w:hAnsi="Noto Naskh Arabic" w:eastAsia="Noto Naskh Arabic" w:cs="Noto Naskh Arabic"/>
          <w:color w:val="000000"/>
          <w:sz w:val="23"/>
          <w:rtl w:val="1"/>
        </w:rPr>
        <w:t>• تفاوت توزیع داده و محیط جمع آوری InSDN دامنه تعمیم نتایج خارجی را محدود می کند</w:t>
      </w:r>
    </w:p>
    <w:p>
      <w:pPr>
        <w:keepNext w:val="0"/>
        <w:spacing w:before="0" w:after="60" w:line="312" w:lineRule="auto"/>
        <w:ind w:right="255" w:hanging="198"/>
        <w:jc w:val="right"/>
        <w:bidi w:val="1"/>
      </w:pPr>
      <w:r>
        <w:rPr>
          <w:rFonts w:ascii="Noto Naskh Arabic" w:hAnsi="Noto Naskh Arabic" w:eastAsia="Noto Naskh Arabic" w:cs="Noto Naskh Arabic"/>
          <w:color w:val="000000"/>
          <w:sz w:val="23"/>
          <w:rtl w:val="1"/>
        </w:rPr>
        <w:t>• عملکرد ضعیف تر و متغیرتر روی بخشی از جریان های Metasploitable نیاز به بررسی بیشتر الگوی منبع ترافیک را نشان می دهد</w:t>
      </w:r>
    </w:p>
    <w:p>
      <w:r>
        <w:br w:type="page"/>
      </w:r>
    </w:p>
    <w:p>
      <w:pPr>
        <w:pStyle w:val="Heading1"/>
        <w:keepNext/>
        <w:spacing w:before="200" w:after="100" w:line="276" w:lineRule="auto"/>
        <w:jc w:val="right"/>
        <w:pageBreakBefore w:val="0"/>
        <w:bidi w:val="1"/>
      </w:pPr>
      <w:r>
        <w:rPr>
          <w:rFonts w:ascii="Noto Naskh Arabic" w:hAnsi="Noto Naskh Arabic" w:eastAsia="Noto Naskh Arabic" w:cs="Noto Naskh Arabic"/>
          <w:b/>
          <w:color w:val="000000"/>
          <w:sz w:val="30"/>
          <w:rtl w:val="1"/>
        </w:rPr>
        <w:t>اقدام های پیشنهادی بعدی</w:t>
      </w:r>
    </w:p>
    <w:p>
      <w:pPr>
        <w:keepNext w:val="0"/>
        <w:spacing w:before="0" w:after="120" w:line="324" w:lineRule="auto"/>
        <w:jc w:val="right"/>
        <w:bidi w:val="1"/>
      </w:pPr>
      <w:r>
        <w:rPr>
          <w:rFonts w:ascii="Noto Naskh Arabic" w:hAnsi="Noto Naskh Arabic" w:eastAsia="Noto Naskh Arabic" w:cs="Noto Naskh Arabic"/>
          <w:b w:val="0"/>
          <w:color w:val="000000"/>
          <w:sz w:val="24"/>
          <w:rtl w:val="1"/>
        </w:rPr>
        <w:t>نسخه فعلی برای بازبینی استاد راهنما آماده است. پیش از نهایی سازی پیشنهاد می شود درباره کفایت دامنه ارزیابی و نحوه بیان سهم پژوهش تصمیم گیری شود. در صورت تأیید دامنه فعلی تمرکز مرحله بعد بر اصلاحات نگارشی هماهنگی نهایی منابع و تمرین دفاع خواهد بود. در صورت نیاز به آزمایش تکمیلی اولویت با کاهش نرخ مثبت کاذب از طریق پنجره های هم پوشان یا هموارسازی نرخ ها و سپس آزمون روی یک نوع حمله یا توپولوژی دیگر است.</w:t>
      </w:r>
    </w:p>
    <w:tbl>
      <w:tblPr>
        <w:tblW w:type="auto" w:w="0"/>
        <w:jc w:val="center"/>
        <w:tblLayout w:type="fixed"/>
        <w:tblLook w:firstColumn="1" w:firstRow="1" w:lastColumn="0" w:lastRow="0" w:noHBand="0" w:noVBand="1" w:val="04A0"/>
        <w:bidiVisual/>
      </w:tblPr>
      <w:tblGrid>
        <w:gridCol w:w="3293"/>
        <w:gridCol w:w="3293"/>
        <w:gridCol w:w="3293"/>
      </w:tblGrid>
      <w:tr>
        <w:trPr>
          <w:tblHeader/>
        </w:trPr>
        <w:tc>
          <w:tcPr>
            <w:tcW w:type="dxa" w:w="1008"/>
            <w:shd w:fill="1F4E78"/>
            <w:tcMar>
              <w:top w:w="130" w:type="dxa"/>
              <w:start w:w="120" w:type="dxa"/>
              <w:bottom w:w="13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keepNext w:val="0"/>
              <w:spacing w:before="0" w:after="0" w:line="264" w:lineRule="auto"/>
              <w:jc w:val="center"/>
              <w:bidi w:val="1"/>
            </w:pPr>
            <w:r/>
            <w:r>
              <w:rPr>
                <w:rFonts w:ascii="Noto Naskh Arabic" w:hAnsi="Noto Naskh Arabic" w:eastAsia="Noto Naskh Arabic" w:cs="Noto Naskh Arabic"/>
                <w:b/>
                <w:color w:val="FFFFFF"/>
                <w:sz w:val="21"/>
                <w:rtl w:val="1"/>
              </w:rPr>
              <w:t>اولویت</w:t>
            </w:r>
          </w:p>
        </w:tc>
        <w:tc>
          <w:tcPr>
            <w:tcW w:type="dxa" w:w="6984"/>
            <w:shd w:fill="1F4E78"/>
            <w:tcMar>
              <w:top w:w="130" w:type="dxa"/>
              <w:start w:w="120" w:type="dxa"/>
              <w:bottom w:w="13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keepNext w:val="0"/>
              <w:spacing w:before="0" w:after="0" w:line="264" w:lineRule="auto"/>
              <w:jc w:val="center"/>
              <w:bidi w:val="1"/>
            </w:pPr>
            <w:r/>
            <w:r>
              <w:rPr>
                <w:rFonts w:ascii="Noto Naskh Arabic" w:hAnsi="Noto Naskh Arabic" w:eastAsia="Noto Naskh Arabic" w:cs="Noto Naskh Arabic"/>
                <w:b/>
                <w:color w:val="FFFFFF"/>
                <w:sz w:val="21"/>
                <w:rtl w:val="1"/>
              </w:rPr>
              <w:t>اقدام</w:t>
            </w:r>
          </w:p>
        </w:tc>
        <w:tc>
          <w:tcPr>
            <w:tcW w:type="dxa" w:w="2592"/>
            <w:shd w:fill="1F4E78"/>
            <w:tcMar>
              <w:top w:w="130" w:type="dxa"/>
              <w:start w:w="120" w:type="dxa"/>
              <w:bottom w:w="13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keepNext w:val="0"/>
              <w:spacing w:before="0" w:after="0" w:line="264" w:lineRule="auto"/>
              <w:jc w:val="center"/>
              <w:bidi w:val="1"/>
            </w:pPr>
            <w:r/>
            <w:r>
              <w:rPr>
                <w:rFonts w:ascii="Noto Naskh Arabic" w:hAnsi="Noto Naskh Arabic" w:eastAsia="Noto Naskh Arabic" w:cs="Noto Naskh Arabic"/>
                <w:b/>
                <w:color w:val="FFFFFF"/>
                <w:sz w:val="21"/>
                <w:rtl w:val="1"/>
              </w:rPr>
              <w:t>نیاز به نظر استاد راهنما</w:t>
            </w:r>
          </w:p>
        </w:tc>
      </w:tr>
      <w:tr>
        <w:tc>
          <w:tcPr>
            <w:tcW w:type="dxa" w:w="1008"/>
            <w:shd w:fill="FFFFFF"/>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keepNext w:val="0"/>
              <w:spacing w:before="0" w:after="0" w:line="276" w:lineRule="auto"/>
              <w:jc w:val="center"/>
              <w:bidi w:val="1"/>
            </w:pPr>
            <w:r/>
            <w:r>
              <w:rPr>
                <w:rFonts w:ascii="Noto Naskh Arabic" w:hAnsi="Noto Naskh Arabic" w:eastAsia="Noto Naskh Arabic" w:cs="Noto Naskh Arabic"/>
                <w:color w:val="000000"/>
                <w:sz w:val="21"/>
                <w:rtl w:val="1"/>
              </w:rPr>
              <w:t>۱</w:t>
            </w:r>
          </w:p>
        </w:tc>
        <w:tc>
          <w:tcPr>
            <w:tcW w:type="dxa" w:w="6984"/>
            <w:shd w:fill="FFFFFF"/>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keepNext w:val="0"/>
              <w:spacing w:before="0" w:after="0" w:line="276" w:lineRule="auto"/>
              <w:jc w:val="center"/>
              <w:bidi w:val="1"/>
            </w:pPr>
            <w:r/>
            <w:r>
              <w:rPr>
                <w:rFonts w:ascii="Noto Naskh Arabic" w:hAnsi="Noto Naskh Arabic" w:eastAsia="Noto Naskh Arabic" w:cs="Noto Naskh Arabic"/>
                <w:color w:val="000000"/>
                <w:sz w:val="21"/>
                <w:rtl w:val="1"/>
              </w:rPr>
              <w:t>تأیید چارچوب نهایی ادعاها و حفظ InSDN به عنوان ارزیابی تکمیلی</w:t>
            </w:r>
          </w:p>
        </w:tc>
        <w:tc>
          <w:tcPr>
            <w:tcW w:type="dxa" w:w="2592"/>
            <w:shd w:fill="FFFFFF"/>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keepNext w:val="0"/>
              <w:spacing w:before="0" w:after="0" w:line="276" w:lineRule="auto"/>
              <w:jc w:val="center"/>
              <w:bidi w:val="1"/>
            </w:pPr>
            <w:r/>
            <w:r>
              <w:rPr>
                <w:rFonts w:ascii="Noto Naskh Arabic" w:hAnsi="Noto Naskh Arabic" w:eastAsia="Noto Naskh Arabic" w:cs="Noto Naskh Arabic"/>
                <w:color w:val="000000"/>
                <w:sz w:val="21"/>
                <w:rtl w:val="1"/>
              </w:rPr>
              <w:t>بله</w:t>
            </w:r>
          </w:p>
        </w:tc>
      </w:tr>
      <w:tr>
        <w:tc>
          <w:tcPr>
            <w:tcW w:type="dxa" w:w="1008"/>
            <w:shd w:fill="EDF4F8"/>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keepNext w:val="0"/>
              <w:spacing w:before="0" w:after="0" w:line="276" w:lineRule="auto"/>
              <w:jc w:val="center"/>
              <w:bidi w:val="1"/>
            </w:pPr>
            <w:r/>
            <w:r>
              <w:rPr>
                <w:rFonts w:ascii="Noto Naskh Arabic" w:hAnsi="Noto Naskh Arabic" w:eastAsia="Noto Naskh Arabic" w:cs="Noto Naskh Arabic"/>
                <w:color w:val="000000"/>
                <w:sz w:val="21"/>
                <w:rtl w:val="1"/>
              </w:rPr>
              <w:t>۲</w:t>
            </w:r>
          </w:p>
        </w:tc>
        <w:tc>
          <w:tcPr>
            <w:tcW w:type="dxa" w:w="6984"/>
            <w:shd w:fill="EDF4F8"/>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keepNext w:val="0"/>
              <w:spacing w:before="0" w:after="0" w:line="276" w:lineRule="auto"/>
              <w:jc w:val="center"/>
              <w:bidi w:val="1"/>
            </w:pPr>
            <w:r/>
            <w:r>
              <w:rPr>
                <w:rFonts w:ascii="Noto Naskh Arabic" w:hAnsi="Noto Naskh Arabic" w:eastAsia="Noto Naskh Arabic" w:cs="Noto Naskh Arabic"/>
                <w:color w:val="000000"/>
                <w:sz w:val="21"/>
                <w:rtl w:val="1"/>
              </w:rPr>
              <w:t>تصمیم درباره ضرورت آزمایش اضافی برای کاهش FPR</w:t>
            </w:r>
          </w:p>
        </w:tc>
        <w:tc>
          <w:tcPr>
            <w:tcW w:type="dxa" w:w="2592"/>
            <w:shd w:fill="EDF4F8"/>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keepNext w:val="0"/>
              <w:spacing w:before="0" w:after="0" w:line="276" w:lineRule="auto"/>
              <w:jc w:val="center"/>
              <w:bidi w:val="1"/>
            </w:pPr>
            <w:r/>
            <w:r>
              <w:rPr>
                <w:rFonts w:ascii="Noto Naskh Arabic" w:hAnsi="Noto Naskh Arabic" w:eastAsia="Noto Naskh Arabic" w:cs="Noto Naskh Arabic"/>
                <w:color w:val="000000"/>
                <w:sz w:val="21"/>
                <w:rtl w:val="1"/>
              </w:rPr>
              <w:t>بله</w:t>
            </w:r>
          </w:p>
        </w:tc>
      </w:tr>
      <w:tr>
        <w:tc>
          <w:tcPr>
            <w:tcW w:type="dxa" w:w="1008"/>
            <w:shd w:fill="FFFFFF"/>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keepNext w:val="0"/>
              <w:spacing w:before="0" w:after="0" w:line="276" w:lineRule="auto"/>
              <w:jc w:val="center"/>
              <w:bidi w:val="1"/>
            </w:pPr>
            <w:r/>
            <w:r>
              <w:rPr>
                <w:rFonts w:ascii="Noto Naskh Arabic" w:hAnsi="Noto Naskh Arabic" w:eastAsia="Noto Naskh Arabic" w:cs="Noto Naskh Arabic"/>
                <w:color w:val="000000"/>
                <w:sz w:val="21"/>
                <w:rtl w:val="1"/>
              </w:rPr>
              <w:t>۳</w:t>
            </w:r>
          </w:p>
        </w:tc>
        <w:tc>
          <w:tcPr>
            <w:tcW w:type="dxa" w:w="6984"/>
            <w:shd w:fill="FFFFFF"/>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keepNext w:val="0"/>
              <w:spacing w:before="0" w:after="0" w:line="276" w:lineRule="auto"/>
              <w:jc w:val="center"/>
              <w:bidi w:val="1"/>
            </w:pPr>
            <w:r/>
            <w:r>
              <w:rPr>
                <w:rFonts w:ascii="Noto Naskh Arabic" w:hAnsi="Noto Naskh Arabic" w:eastAsia="Noto Naskh Arabic" w:cs="Noto Naskh Arabic"/>
                <w:color w:val="000000"/>
                <w:sz w:val="21"/>
                <w:rtl w:val="1"/>
              </w:rPr>
              <w:t>بازبینی نهایی فصل ها منابع و فهرست ها</w:t>
            </w:r>
          </w:p>
        </w:tc>
        <w:tc>
          <w:tcPr>
            <w:tcW w:type="dxa" w:w="2592"/>
            <w:shd w:fill="FFFFFF"/>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keepNext w:val="0"/>
              <w:spacing w:before="0" w:after="0" w:line="276" w:lineRule="auto"/>
              <w:jc w:val="center"/>
              <w:bidi w:val="1"/>
            </w:pPr>
            <w:r/>
            <w:r>
              <w:rPr>
                <w:rFonts w:ascii="Noto Naskh Arabic" w:hAnsi="Noto Naskh Arabic" w:eastAsia="Noto Naskh Arabic" w:cs="Noto Naskh Arabic"/>
                <w:color w:val="000000"/>
                <w:sz w:val="21"/>
                <w:rtl w:val="1"/>
              </w:rPr>
              <w:t>پس از دریافت نظر</w:t>
            </w:r>
          </w:p>
        </w:tc>
      </w:tr>
      <w:tr>
        <w:tc>
          <w:tcPr>
            <w:tcW w:type="dxa" w:w="1008"/>
            <w:shd w:fill="EDF4F8"/>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keepNext w:val="0"/>
              <w:spacing w:before="0" w:after="0" w:line="276" w:lineRule="auto"/>
              <w:jc w:val="center"/>
              <w:bidi w:val="1"/>
            </w:pPr>
            <w:r/>
            <w:r>
              <w:rPr>
                <w:rFonts w:ascii="Noto Naskh Arabic" w:hAnsi="Noto Naskh Arabic" w:eastAsia="Noto Naskh Arabic" w:cs="Noto Naskh Arabic"/>
                <w:color w:val="000000"/>
                <w:sz w:val="21"/>
                <w:rtl w:val="1"/>
              </w:rPr>
              <w:t>۴</w:t>
            </w:r>
          </w:p>
        </w:tc>
        <w:tc>
          <w:tcPr>
            <w:tcW w:type="dxa" w:w="6984"/>
            <w:shd w:fill="EDF4F8"/>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keepNext w:val="0"/>
              <w:spacing w:before="0" w:after="0" w:line="276" w:lineRule="auto"/>
              <w:jc w:val="center"/>
              <w:bidi w:val="1"/>
            </w:pPr>
            <w:r/>
            <w:r>
              <w:rPr>
                <w:rFonts w:ascii="Noto Naskh Arabic" w:hAnsi="Noto Naskh Arabic" w:eastAsia="Noto Naskh Arabic" w:cs="Noto Naskh Arabic"/>
                <w:color w:val="000000"/>
                <w:sz w:val="21"/>
                <w:rtl w:val="1"/>
              </w:rPr>
              <w:t>تمرین ارائه و آماده سازی پاسخ پرسش های داوران</w:t>
            </w:r>
          </w:p>
        </w:tc>
        <w:tc>
          <w:tcPr>
            <w:tcW w:type="dxa" w:w="2592"/>
            <w:shd w:fill="EDF4F8"/>
            <w:tcMar>
              <w:top w:w="115" w:type="dxa"/>
              <w:start w:w="120" w:type="dxa"/>
              <w:bottom w:w="115"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keepNext w:val="0"/>
              <w:spacing w:before="0" w:after="0" w:line="276" w:lineRule="auto"/>
              <w:jc w:val="center"/>
              <w:bidi w:val="1"/>
            </w:pPr>
            <w:r/>
            <w:r>
              <w:rPr>
                <w:rFonts w:ascii="Noto Naskh Arabic" w:hAnsi="Noto Naskh Arabic" w:eastAsia="Noto Naskh Arabic" w:cs="Noto Naskh Arabic"/>
                <w:color w:val="000000"/>
                <w:sz w:val="21"/>
                <w:rtl w:val="1"/>
              </w:rPr>
              <w:t>پس از تثبیت متن</w:t>
            </w:r>
          </w:p>
        </w:tc>
      </w:tr>
    </w:tbl>
    <w:p>
      <w:pPr>
        <w:spacing w:after="40"/>
      </w:pPr>
    </w:p>
    <w:p>
      <w:pPr>
        <w:pStyle w:val="Heading1"/>
        <w:keepNext/>
        <w:spacing w:before="200" w:after="100" w:line="276" w:lineRule="auto"/>
        <w:jc w:val="right"/>
        <w:pageBreakBefore w:val="0"/>
        <w:bidi w:val="1"/>
      </w:pPr>
      <w:r>
        <w:rPr>
          <w:rFonts w:ascii="Noto Naskh Arabic" w:hAnsi="Noto Naskh Arabic" w:eastAsia="Noto Naskh Arabic" w:cs="Noto Naskh Arabic"/>
          <w:b/>
          <w:color w:val="000000"/>
          <w:sz w:val="30"/>
          <w:rtl w:val="1"/>
        </w:rPr>
        <w:t>درخواست بازخورد</w:t>
      </w:r>
    </w:p>
    <w:p>
      <w:pPr>
        <w:keepNext w:val="0"/>
        <w:spacing w:before="0" w:after="200" w:line="324" w:lineRule="auto"/>
        <w:jc w:val="right"/>
        <w:bidi w:val="1"/>
      </w:pPr>
      <w:r>
        <w:rPr>
          <w:rFonts w:ascii="Noto Naskh Arabic" w:hAnsi="Noto Naskh Arabic" w:eastAsia="Noto Naskh Arabic" w:cs="Noto Naskh Arabic"/>
          <w:b w:val="0"/>
          <w:color w:val="000000"/>
          <w:sz w:val="24"/>
          <w:rtl w:val="1"/>
        </w:rPr>
        <w:t>خواهشمند است درباره کفایت ارزیابی انجام شده نحوه بیان نوآوری پژوهش و ضرورت اجرای آزمایش تکمیلی نظر فرمایید. پس از دریافت بازخورد نسخه نهایی پایان نامه و فایل ارائه مطابق نظر استاد راهنما اصلاح خواهد شد.</w:t>
      </w:r>
    </w:p>
    <w:p>
      <w:pPr>
        <w:pStyle w:val="Heading2"/>
        <w:keepNext/>
        <w:spacing w:before="140" w:after="100" w:line="276" w:lineRule="auto"/>
        <w:jc w:val="right"/>
        <w:pageBreakBefore w:val="0"/>
        <w:bidi w:val="1"/>
      </w:pPr>
      <w:r>
        <w:rPr>
          <w:rFonts w:ascii="Noto Naskh Arabic" w:hAnsi="Noto Naskh Arabic" w:eastAsia="Noto Naskh Arabic" w:cs="Noto Naskh Arabic"/>
          <w:b/>
          <w:color w:val="000000"/>
          <w:sz w:val="26"/>
          <w:rtl w:val="1"/>
        </w:rPr>
        <w:t>منبع ارزیابی خارجی</w:t>
      </w:r>
    </w:p>
    <w:p>
      <w:pPr>
        <w:keepNext w:val="0"/>
        <w:spacing w:before="0" w:after="120" w:line="288" w:lineRule="auto"/>
        <w:jc w:val="left"/>
        <w:bidi w:val="0"/>
      </w:pPr>
      <w:r>
        <w:rPr>
          <w:rFonts w:ascii="Noto Sans" w:hAnsi="Noto Sans" w:eastAsia="Noto Sans" w:cs="Noto Sans"/>
          <w:b w:val="0"/>
          <w:color w:val="000000"/>
          <w:sz w:val="21"/>
          <w:rtl w:val="0"/>
        </w:rPr>
        <w:t>M. S. Elsayed, N. A. Le Khac, and A. D. Jurcut, “InSDN: A Novel SDN Intrusion Dataset,” IEEE Access, vol. 8, pp. 165263–165284, 2020, doi: 10.1109/ACCESS.2020.3022633.</w:t>
      </w:r>
    </w:p>
    <w:sectPr w:rsidR="00FC693F" w:rsidRPr="0006063C" w:rsidSect="00034616">
      <w:headerReference w:type="default" r:id="rId9"/>
      <w:footerReference w:type="default" r:id="rId10"/>
      <w:pgSz w:w="12240" w:h="15840"/>
      <w:pgMar w:top="1037" w:right="1181" w:bottom="1037" w:left="1181"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Naskh Arabic" w:hAnsi="Noto Naskh Arabic" w:eastAsia="Noto Naskh Arabic" w:cs="Noto Naskh Arabic"/>
        <w:color w:val="666666"/>
        <w:sz w:val="18"/>
        <w:rtl w:val="1"/>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0" w:lineRule="auto"/>
      <w:jc w:val="right"/>
      <w:bidi w:val="1"/>
    </w:pPr>
    <w:r>
      <w:rPr>
        <w:rFonts w:ascii="Noto Naskh Arabic" w:hAnsi="Noto Naskh Arabic" w:eastAsia="Noto Naskh Arabic" w:cs="Noto Naskh Arabic"/>
        <w:color w:val="666666"/>
        <w:sz w:val="17"/>
        <w:rtl w:val="1"/>
      </w:rPr>
      <w:t>گزارش پیشرفت پایان نامه کارشناسی ارشد</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Naskh Arabic" w:hAnsi="Noto Naskh Arabic" w:eastAsia="Noto Naskh Arabic" w:cs="Noto Naskh Arabic"/>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Naskh Arabic" w:hAnsi="Noto Naskh Arabic" w:eastAsia="Noto Naskh Arabic" w:cs="Noto Naskh Arabic"/>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Naskh Arabic" w:hAnsi="Noto Naskh Arabic" w:eastAsia="Noto Naskh Arabic" w:cs="Noto Naskh Arabic"/>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Naskh Arabic" w:hAnsi="Noto Naskh Arabic" w:eastAsia="Noto Naskh Arabic" w:cs="Noto Naskh Arabic"/>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Naskh Arabic" w:hAnsi="Noto Naskh Arabic" w:eastAsia="Noto Naskh Arabic" w:cs="Noto Naskh Arabic"/>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گزارش پیشرفت پایان نامه کارشناسی ارشد پریسا اسدی</dc:title>
  <dc:subject>تشخیص حملات DDoS در شبکه SDN با استفاده از DBSCAN</dc:subject>
  <dc:creator>پریسا اسدی</dc:creator>
  <cp:keywords/>
  <dc:description>generated by python-docx</dc:description>
  <cp:lastModifiedBy/>
  <cp:revision>1</cp:revision>
  <dcterms:created xsi:type="dcterms:W3CDTF">2013-12-23T23:15:00Z</dcterms:created>
  <dcterms:modified xsi:type="dcterms:W3CDTF">2013-12-23T23:15:00Z</dcterms:modified>
  <cp:category/>
</cp:coreProperties>
</file>