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EE3F8"/>
                <w:sz w:val="20"/>
                <w:szCs w:val="20"/>
              </w:rPr>
              <w:t xml:space="preserve">MOMENTUM VERIFICATION ANALYSIS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GILD — GILEAD SCIENCES, INC.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Health Care  |  Biopharmaceuticals (HIV / Antivirals, Liver Disease, Oncology)</w:t>
            </w:r>
          </w:p>
          <w:p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Analysis Date: Friday, September 4, 2026     </w:t>
            </w:r>
            <w:r>
              <w:rPr>
                <w:rFonts w:ascii="Arial" w:cs="Arial" w:eastAsia="Arial" w:hAnsi="Arial"/>
                <w:i/>
                <w:iCs/>
                <w:color w:val="BEE3F8"/>
                <w:sz w:val="18"/>
                <w:szCs w:val="18"/>
              </w:rPr>
              <w:t xml:space="preserve">“Identify with Momentum, Verify with Fundamentals”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VERDICT:  BUY / ADD — FUNDAMENTALS AND TECHNICALS ARE ALIGNED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FRAMEWORK SCORE:  3.0 / 3.0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EE2C8"/>
                <w:sz w:val="18"/>
                <w:szCs w:val="18"/>
              </w:rPr>
              <w:t xml:space="preserve">FUNDAMENTALS STRONG (all three parts score 1.0)   |   TECHNICALS BULLISH / UPTREND INTACT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GILD scores a full 3.0/3.0. Gross margin has expanded every year since FY23 (77.99% to 79.60% ttm) off an already-high base, trailing free cash flow is a record $12.94B, and ROIC is 34.4%. Q2 2026 revenue rose 10% to $7.803B — the strongest second-quarter growth in three years — led by HIV at $5.693B (+12%), and management RAISED full-year HIV growth guidance to 9-10% from 8%. Technicals are bullish and aligned: price $151.22 sits above every major moving average (MA20 144.35 / MA50 136.60 / MA200 133.37) with RSI(14) at 67.7 and the Street's average target ABOVE the price. The catch is not the business — it is the GAAP optics. A $10.5B Q2 net loss and a negative trailing P/E are the product of $11.1B of acquired IPR&amp;D expensed upfront on three acquisitions, plus a $1.75B impairment on assets from the earlier Immunomedics deal. Excluding those charges, management guides FY26 non-GAAP EPS of $8.50-$8.85, roughly 17x the current price.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ACCUMULATE ZONE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$145 - $152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Between MA20 (144.35) and the current price; add on dips, do not chase above 157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d7d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HARD STOP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~ $136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Below verified support 137.55 AND the MA50 at 136.60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bc8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$157 consensus  /  $180 Street high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Consensus implies only +4.1% — the near-term reward is modest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The Real Divergence: GAAP Headline vs. Operating Reality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TECHNICAL PICTURE — BULLISH, ALIGNED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Price $151.22, only 3.9% below the 52-wk high $157.29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Above every major MA: 5 (149.62), 20 (144.35), 50 (136.60), 200 (133.37)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RSI(14) 67.7 — upper-neutral, NOT yet overbought (&gt;70)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MACD(12,26,9) +0.553 — buy signal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+33.6% over 12 months — a steady re-rate, not a vertical move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Street target $157.41 sits ABOVE the price (28 analysts, Buy)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FUNDAMENTAL PICTURE — STRONG, MASKED BY CHARGES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Q2 revenue $7.803B, +10% YoY — best Q2 in three years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Gross margin 79.60% ttm, up every year from 77.99% (FY23)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Trailing FCF a record $12.94B; ROIC 34.4%; Price/FCF 14.5x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GAAP EPS -$8.45 — but from $11.1B upfront IPR&amp;D expensing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Ex-charges FY26 non-GAAP EPS guide $8.50-$8.85 (~17x price)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RED FLAG: $1.75B impairment on prior Immunomedics assets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7A7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ASSESSMENT: NOT A DIVERGENCE BETWEEN PRICE AND FUNDAMENTALS — A DIVERGENCE BETWEEN ACCOUNTING AND CASH.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The usual actionable setups are strong-fundamentals/weak-tape or weak-fundamentals/euphoric-tape. GILD is neither: fundamentals and technicals agree. The exploitable gap here is mechanical. Screens that rank on GAAP earnings see a company with negative trailing EPS, a negative 20.7% ROE and no P/E, because $11.1B of acquisition cost was expensed in a single quarter rather than capitalised. The same company produced $3.43B of free cash flow in that quarter and $12.94B over the trailing year. Investors who read the GAAP line literally will misprice this; the risk is that the market is already awake to it, since the consensus target sits just 4.1% above the price.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Long-Acting HIV Prevention — Is GILD the Right Horse?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THE OPPORTUNITY (leader, not follower)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1. Yeztugo is winning the PrEP switch market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Twice-yearly injectable lenacapavir booked $232M in Q2 2026 against $15M a year earlier, +40% sequentially, beating consensus by $17M (8%). Four full quarters after launch it leads the entire PrEP switch market and is the leading long-acting option for PrEP-naive patients.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2. The franchise is taking share, not riding a rising tide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 PrEP sales topped $1B in a quarter for the first time ($1.03B), more than doubling YoY against a US PrEP market growing 14%. That gap is share capture. Annual run rate is now ~$4B.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3. Retention is holding so far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More than 70% of users returned for the six-month reinjection, extending protection to a full year. Management raised FY26 HIV growth guidance to 9-10% from 8% on the back of it.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4. HIV is the core, not a side bet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HIV is $5.693B of $7.803B total Q2 revenue — roughly 73%. Unlike a diversified beneficiary, GILD is a pure-play on the trend it is being bought for. Biktarvy alone is $3.772B (+7%).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bc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5621"/>
                <w:sz w:val="22"/>
                <w:szCs w:val="22"/>
              </w:rPr>
              <w:t xml:space="preserve">THE CATCH (real, and worth sizing for)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1. GSK/ViiV has a tolerability edge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 head-to-head acceptability study found 4.4x more injection-site reaction events after Yeztugo than after GSK's Apretude, with 69% rating Apretude injections totally or very acceptable versus 48% for Yeztugo. Nine of ten participants preferred Apretude.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2. Analysts question durability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The 70% six-month persistence figure is encouraging but early; it is the single number that decides whether the $4B run rate compounds or plateaus. GSK's long-acting portfolio is also strong — LAIs are now 35% of its US HIV sales, with 77% of Cabenuva switches coming from competitors.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3. Oncology is the weak leg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Oncology grew just 3% to $873M, and the $1.75B impairment was taken against assets acquired from Immunomedics — the Trodelvy deal. That is a prior acquisition being written down while three more are being made.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4. Capital allocation is now the swing factor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$11.1B was committed upfront to Arcellx, Tubulis and Ouro Medicines. The operating business funds it comfortably, but the Immunomedics write-down is evidence that Gilead's deal record is not unblemished.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 VERDICT: GILD IS THE RIGHT HORSE. Unlike a peripheral beneficiary, Gilead sets the pace in the category it is valued for — 73% of revenue, the leading long-acting product, and share gains against a growing market. The honest caveats are Apretude's tolerability advantage, the unproven durability of Yeztugo persistence beyond the first year, and a demonstrated willingness to overpay for oncology assets.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Q2 2026 Earnings Performance (reported August 4,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Q2 2026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vs Q2 2025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 2026 Guidance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$7.803B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+10% (from $7.082B)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Product sales $30.1-30.4B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HIV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$5.693B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+12% — the engine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HIV growth RAISED to 9-10%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Yeztugo (lenacapavir)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$232M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vs $15M; +40% QoQ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PrEP run rate ~$4B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Biktarvy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$3.772B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+7%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Core franchise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Liver Disease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$877M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+10%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Growing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Oncology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$873M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+3% — weak leg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$1.75B Immunomedics impairment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Veklury (COVID)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$23M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-81% — runoff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Immaterial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Product Gross Margin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79.3%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vs 78.7% — expanding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Non-GAAP 86.9% (flat)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Free Cash Flow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$3.432B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vs $720M — sharply higher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TTM $12.94B (record)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GAAP Diluted EPS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18"/>
                <w:szCs w:val="18"/>
              </w:rPr>
              <w:t xml:space="preserve">-$8.45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vs +$1.56 — IPR&amp;D charges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-$3.75 to -$3.40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Non-GAAP EPS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-$6.75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vs +$2.01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-$0.65 to -$0.30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EPS ex-IPR&amp;D charges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18"/>
                <w:szCs w:val="18"/>
              </w:rPr>
              <w:t xml:space="preserve">n/a (charge ~$9.15/sh)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Underlying earnings intact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$8.50 - $8.85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Part 1 — Quality Check (Margins &amp; Profitability)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Question: Is the price move supported by margin trends?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Gross Margin Trend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CLEARLY EXPANDING off a high base — 77.99% (FY23) to 78.26% (FY24) to 78.84% (FY25) to 79.60% (ttm). Q2 product gross margin 79.3% vs 78.7% a year earlier. Roughly +160bps over three years on an already best-in-class base.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Operating Margin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STRONG — 34.40% (FY23) to 37.17% (FY24) to 40.13% (FY25), 38.88% ttm. The small step down from FY25 reflects higher R&amp;D ($1.764B vs $1.491B) and SG&amp;A ($1.921B vs $1.365B) behind the Yeztugo launch, not pricing erosion.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Cash Generation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RECORD — trailing FCF $12.94B, up from $9.46B (FY25) and $7.42B (FY23). Q2 alone produced $3.432B against $720M a year earlier. Price/FCF 14.5x; ROIC 34.4%.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The GAAP Problem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Trailing net income is -$3.24B, profit margin -10.64% and ROE -20.68%. This is entirely $11.1B of acquired IPR&amp;D expensed upfront (Arcellx, Tubulis, Ouro Medicines) plus the $1.75B Immunomedics impairment. It is capital deployment run through the income statement, not margin deterioration.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The Genuine Blemish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The $1.75B impairment is a write-down of assets from a PRIOR acquisition. Margin quality in the operating business is not in question; the discipline of the acquisition programme is.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Every operating measure of quality — gross margin, operating margin, free cash flow, ROIC — is strong and improving. The negative headline earnings are an artefact of accounting for acquisitions, and the market can see through it: the stock is 3.9% off its high, not distressed.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QUALITY SCORE: 1.0 / 1.0 — MARGINS CLEARLY EXPANDING OFF A HEALTHY BASE, RECORD FCF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Part 2 — Growth Check (Divisional &amp; Franchise Momentum)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Question: Which division is driving growth? Is it sustainable?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Growth Type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SECULAR / NEW-CATEGORY, not cyclical — the driver is a product cycle creating a new treatment category (twice-yearly injectable PrEP), not a restock or a price increase on legacy volume.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Lead Division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HIV — $5.693B, +12% YoY, ~73% of total revenue. Biktarvy $3.772B (+7%) is the stable base; Yeztugo is the growth vector at $232M from $15M a year ago, +40% sequentially.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Guidance Direction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RAISED — full-year HIV growth guidance lifted to 9-10% from a prior 8%; base business sales guided to $29.8-30.1B, up $350M at the midpoint versus May. Total Q2 growth of 10% was the strongest second quarter in three years.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Supporting Segments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Liver Disease $877M (+10%) is a solid second leg. Veklury at $23M (-81%) is a COVID runoff now small enough to stop mattering, which removes a drag on FY27 comparisons.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The Weak Leg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Oncology grew only 3% to $873M and carries the $1.75B Immunomedics impairment. Roughly 11% of revenue is not contributing to the growth case.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Sustainability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HIGH but not proven beyond year one — the whole thesis rests on Yeztugo persistence. The 70%+ six-month reinjection rate is the number to track each quarter; if it holds, growth compounds, if it decays, the $4B run rate plateaus.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GROWTH SCORE: 1.0 / 1.0 — DOUBLE-DIGIT, SECULAR, WITH RAISED GUIDANCE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Part 3 — Peer Check (Relative Strength in Long-Acting HIV)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18096"/>
          <w:sz w:val="19"/>
          <w:szCs w:val="19"/>
        </w:rPr>
        <w:t xml:space="preserve">Question: Is GILD leading or lagging in the trend it is being bought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860"/>
        <w:gridCol w:w="27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Player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 in Long-Acting HIV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 Trend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Gilead (GILD)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#1 — Yeztugo leads the PrEP switch market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GAINING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PrEP +100% YoY vs market +14%; HIV = 73% of revenue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GSK / ViiV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#2 — Apretude (q2-month) + Cabenuva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Growing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LAIs now 35% of US HIV sales; 77% of Cabenuva switches from rivals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Dosing interval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GILD twice-yearly vs GSK every 2 months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GILD edge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Convenience is Gilead's structural advantage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Tolerability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Apretude preferred 9 of 10 in a study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GSK edge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4.4x more injection-site reactions on Yeztugo; 69% vs 48% acceptability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Efficacy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Indirect comparison: similar</w:t>
            </w:r>
          </w:p>
        </w:tc>
        <w:tc>
          <w:tcPr>
            <w:tcW w:type="dxa" w:w="1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65d"/>
                <w:sz w:val="18"/>
                <w:szCs w:val="18"/>
              </w:rPr>
              <w:t xml:space="preserve">Tie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Neither product wins on prevention efficacy alone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Why this is a 1.0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GILD is a pure-play on the trend, not a diversified beneficiary — HIV is 73% of revenue.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It is demonstrably gaining share: PrEP sales doubled while the market grew 14%.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It sets the pace on dosing convenience, the axis patients switch for.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bc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5621"/>
                <w:sz w:val="22"/>
                <w:szCs w:val="22"/>
              </w:rPr>
              <w:t xml:space="preserve">What would break it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Injection-site tolerability is a genuine, measured disadvantage versus Apretude.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If six-month persistence slips below ~70%, the leadership claim weakens fast.</w:t>
            </w:r>
          </w:p>
          <w:p>
            <w:pPr>
              <w:spacing w:after="50"/>
              <w:ind w:left="12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GSK is not retreating — its long-acting franchise is growing and taking switches too.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PEER SCORE: 1.0 / 1.0 — CLEAR LEADER AND SHARE GAINER IN ITS CORE CATEGORY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Technical Analysis — Uptrend Intact, Approaching the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(Sept 4, 2026)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$151.22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3.9% below 52-wk high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52-week range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$108.46 - $157.29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+33.6% over 1 year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RSI (14-day)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67.7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Upper-neutral, not overbought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MACD (12,26,9)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+0.553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BUY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MA20 / MA50 / MA200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144.35 / 136.60 / 133.37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Price above all — BULLISH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Resistance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$158.49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Just above the 52-wk high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Support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$137.55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Stop belongs BELOW this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Analyst consensus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Buy · $157.41 (28 analysts)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621"/>
                <w:sz w:val="18"/>
                <w:szCs w:val="18"/>
              </w:rPr>
              <w:t xml:space="preserve">Only +4.1% upside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Street range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$123 low - $180 high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High implies +19%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Forward P/E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16.55x  (Price/FCF 14.5x)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Undemanding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C7A7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Framework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 Component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Part 1: Quality Check (Margins)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1.0 / 1.0 — GM 77.99% to 79.60%; record FCF $12.94B; ROIC 34.4%</w:t>
            </w:r>
          </w:p>
        </w:tc>
      </w:tr>
      <w:t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Part 2: Growth Check (Divisional)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1.0 / 1.0 — HIV +12%; guidance RAISED to 9-10%; secular driver</w:t>
            </w:r>
          </w:p>
        </w:tc>
      </w:tr>
      <w:t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Part 3: Peer Check (Long-acting HIV)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18"/>
                <w:szCs w:val="18"/>
              </w:rPr>
              <w:t xml:space="preserve">1.0 / 1.0 — LEADER; PrEP +100% vs market +14%</w:t>
            </w:r>
          </w:p>
        </w:tc>
      </w:tr>
      <w:t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TOTAL FRAMEWORK SCORE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3.0 / 3.0</w:t>
            </w:r>
          </w:p>
        </w:tc>
      </w:tr>
      <w:tr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TECHNICAL OVERLAY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BULLISH / ALIGNED — above all MAs, RSI 67.7, +33.6% 1-yr, Street target above price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VERDICT: BUY / ADD — BUT SIZE FOR A MODEST NEAR-TERM TARGET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E2C8"/>
                <w:sz w:val="19"/>
                <w:szCs w:val="19"/>
              </w:rPr>
              <w:t xml:space="preserve">ACCUMULATE ZONE: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$145-$152 (add on dips toward MA20 144.35; do not chase above $157)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E2C8"/>
                <w:sz w:val="19"/>
                <w:szCs w:val="19"/>
              </w:rPr>
              <w:t xml:space="preserve">HARD STOP: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~$136 — below verified support $137.55 and the MA50 at $136.60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E2C8"/>
                <w:sz w:val="19"/>
                <w:szCs w:val="19"/>
              </w:rPr>
              <w:t xml:space="preserve">CONSENSUS TARGET: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$157.41 (+4.1%) · Street high $180 (+19%) · Street low $123 (-19%)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E2C8"/>
                <w:sz w:val="19"/>
                <w:szCs w:val="19"/>
              </w:rPr>
              <w:t xml:space="preserve">EXISTING POSITION: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HOLD and ADD on weakness; the thesis is intact and the tape confirms 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E2C8"/>
                <w:sz w:val="19"/>
                <w:szCs w:val="19"/>
              </w:rPr>
              <w:t xml:space="preserve">NEW POSITION: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BUY in the zone; track Yeztugo six-month persistence each quarter as the thesis check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Reasoning: All three parts score 1.0 and the technical overlay is bullish rather than euphoric — RSI 67.7 with price above every major moving average and the Street's average target still above the price. Per the rubric's matrix, high fundamentals plus aligned bullish technicals is a Buy/Add, and there is no falling-knife or take-profit divergence to arbitrage here. Two disciplines apply. First, the reward is modest against consensus: $157.41 is only 4.1% away, so the case for size rests on the $180 Street high and on FY26 earnings power of $8.50-$8.85 ex-charges, roughly 17x. Second, the stop must sit below $137.55 — verified support and the MA50 — because a stop placed just above it will be taken out on an ordinary test. Track one number: Yeztugo six-month persistence, currently above 70%. It is the hinge on which both the Growth and Peer scores turn.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718096"/>
          <w:sz w:val="15"/>
          <w:szCs w:val="15"/>
        </w:rPr>
        <w:t xml:space="preserve">Not investment advice. This framework analysis is for informational purposes only and reflects publicly reported figures as of Friday, September 4, 2026. Figures are drawn from company results and third-party market data and may be revised. Always do your own due diligence.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5"/>
        <w:szCs w:val="15"/>
      </w:rPr>
      <w:t xml:space="preserve">“Identify with Momentum, Verify with Fundamentals”   ·   GILD — Gilead Sciences, Inc.   ·   Page </w:t>
    </w:r>
    <w:r>
      <w:rPr>
        <w:rFonts w:ascii="Arial" w:cs="Arial" w:eastAsia="Arial" w:hAnsi="Arial"/>
        <w:color w:val="71809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2026-09-05T17:30:29.399Z</dcterms:created>
  <dcterms:modified xsi:type="dcterms:W3CDTF">2026-09-05T17:30:29.403Z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