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65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BEE3F8"/>
                <w:sz w:val="20"/>
                <w:szCs w:val="20"/>
              </w:rPr>
              <w:t xml:space="preserve">MOMENTUM VERIFICATION ANALYSIS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WMB — THE WILLIAMS COMPANIES, INC.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E2E8F0"/>
                <w:sz w:val="18"/>
                <w:szCs w:val="18"/>
              </w:rPr>
              <w:t xml:space="preserve">Energy  |  Natural Gas Midstream &amp; Interstate Pipelines (Transco, Gulf of America, Northeast G&amp;P, West)</w:t>
            </w:r>
          </w:p>
          <w:p>
            <w:r>
              <w:rPr>
                <w:rFonts w:ascii="Arial" w:cs="Arial" w:eastAsia="Arial" w:hAnsi="Arial"/>
                <w:color w:val="E2E8F0"/>
                <w:sz w:val="18"/>
                <w:szCs w:val="18"/>
              </w:rPr>
              <w:t xml:space="preserve">Analysis Date: Wednesday, September 9, 2026     </w:t>
            </w:r>
            <w:r>
              <w:rPr>
                <w:rFonts w:ascii="Arial" w:cs="Arial" w:eastAsia="Arial" w:hAnsi="Arial"/>
                <w:i/>
                <w:iCs/>
                <w:color w:val="BEE3F8"/>
                <w:sz w:val="18"/>
                <w:szCs w:val="18"/>
              </w:rPr>
              <w:t xml:space="preserve">“Identify with Momentum, Verify with Fundamentals”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674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VERDICT:  BUY / ADD — MOMENTUM IS EARNED, BUT IT IS BEING BOUGHT WITH DEBT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FRAMEWORK SCORE:  2.5 / 3.0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EE2C8"/>
                <w:sz w:val="18"/>
                <w:szCs w:val="18"/>
              </w:rPr>
              <w:t xml:space="preserve">FUNDAMENTALS STRONG (margins expanding, guidance raised twice)   |   TECHNICALS BULLISH &amp; CONSOLIDATING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WMB scores 2.5/3.0. Growth and Peer are unambiguous 1.0s: management raised FY26 adjusted EBITDA guidance by $200M to $8.3-8.5B AND lifted the long-term target to 11%+ CAGR through 2030, on secular LNG and data-center demand that is contracted rather than cyclical, from the operator of Transco — the largest interstate gas pipeline in the United States. Quality is held at 0.5 for one reason: trailing free cash flow is NEGATIVE $174M, down from +$3,371M in FY2023, because capex has run to $6.17B with $7.3-7.9B guided for 2026. Margins are genuinely expanding (operating 31.4% to 38.1%, net 20.7% to 24.9% over two years) but the growth is being funded with debt and equity, not cash generation. Technicals are aligned and unstretched: price above both the 50- and 200-day, RSI in the neutral 46-54 band, 6.5% below the 52-week high, with a $85.47 consensus target 12.7% above the price.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f6d5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749"/>
                <w:sz w:val="20"/>
                <w:szCs w:val="20"/>
              </w:rPr>
              <w:t xml:space="preserve">ACCUMULATE ZONE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65d"/>
                <w:sz w:val="26"/>
                <w:szCs w:val="26"/>
              </w:rPr>
              <w:t xml:space="preserve">$70.50 - $75.00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Between the 200-day (~$70.3) and the EMA-50 (~$75.0)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d7d7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3030"/>
                <w:sz w:val="20"/>
                <w:szCs w:val="20"/>
              </w:rPr>
              <w:t xml:space="preserve">HARD STOP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65d"/>
                <w:sz w:val="26"/>
                <w:szCs w:val="26"/>
              </w:rPr>
              <w:t xml:space="preserve">$69.50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Below the 200-day MA and the $69.09 support shelf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afc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65d"/>
                <w:sz w:val="20"/>
                <w:szCs w:val="20"/>
              </w:rPr>
              <w:t xml:space="preserve">STREET TARGET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65d"/>
                <w:sz w:val="26"/>
                <w:szCs w:val="26"/>
              </w:rPr>
              <w:t xml:space="preserve">$85.47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Consensus of 20 analysts (+12.7%) | Street high $103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2C7A7B" w:sz="6" w:space="2"/>
        </w:pBdr>
        <w:spacing w:after="120" w:before="26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Is the Move Earned? Fundamentals vs. the Chart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f6d5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76749"/>
                <w:sz w:val="22"/>
                <w:szCs w:val="22"/>
              </w:rPr>
              <w:t xml:space="preserve">TECHNICAL PICTURE — BULLISH, NOT STRETCHED</w:t>
            </w:r>
          </w:p>
          <w:p>
            <w:pPr>
              <w:spacing w:after="50"/>
              <w:ind w:left="12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+33.03% total return over the last 12 months</w:t>
            </w:r>
          </w:p>
          <w:p>
            <w:pPr>
              <w:spacing w:after="50"/>
              <w:ind w:left="12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RSI (14-day) 45.7 - 53.8 — NEUTRAL, not overbought</w:t>
            </w:r>
          </w:p>
          <w:p>
            <w:pPr>
              <w:spacing w:after="50"/>
              <w:ind w:left="12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$75.83 close vs 52-wk range $56.19 - $80.08 (6.5% below high)</w:t>
            </w:r>
          </w:p>
          <w:p>
            <w:pPr>
              <w:spacing w:after="50"/>
              <w:ind w:left="12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Above the 50-day ($73.34) and 200-day ($67.17 - $70.32)</w:t>
            </w:r>
          </w:p>
          <w:p>
            <w:pPr>
              <w:spacing w:after="50"/>
              <w:ind w:left="12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Range-bound $70.5 - $75.6; consolidation, not a vertical advance</w:t>
            </w:r>
          </w:p>
          <w:p>
            <w:pPr>
              <w:spacing w:after="50"/>
              <w:ind w:left="12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Street target $85.47 sits ABOVE price (+12.7%) — the crowd is not yet ahead of itself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bc8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05621"/>
                <w:sz w:val="22"/>
                <w:szCs w:val="22"/>
              </w:rPr>
              <w:t xml:space="preserve">FUNDAMENTAL PICTURE — STRONG, WITH ONE HOLE</w:t>
            </w:r>
          </w:p>
          <w:p>
            <w:pPr>
              <w:spacing w:after="50"/>
              <w:ind w:left="12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Operating margin 31.4% (FY24) to 37.5% (FY25) to 38.1% (TTM)</w:t>
            </w:r>
          </w:p>
          <w:p>
            <w:pPr>
              <w:spacing w:after="50"/>
              <w:ind w:left="12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Net margin 20.7% to 22.1% to 24.9%; ROE 15.8% to 21.5%</w:t>
            </w:r>
          </w:p>
          <w:p>
            <w:pPr>
              <w:spacing w:after="50"/>
              <w:ind w:left="12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FY26 EBITDA guide RAISED $200M to $8.3 - $8.5B</w:t>
            </w:r>
          </w:p>
          <w:p>
            <w:pPr>
              <w:spacing w:after="50"/>
              <w:ind w:left="12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Long-term CAGR target RAISED from 10%+ to 11%+ through 2030</w:t>
            </w:r>
          </w:p>
          <w:p>
            <w:pPr>
              <w:spacing w:after="50"/>
              <w:ind w:left="12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BUT free cash flow is -$174M TTM (from +$3,371M in FY23)</w:t>
            </w:r>
          </w:p>
          <w:p>
            <w:pPr>
              <w:spacing w:after="50"/>
              <w:ind w:left="12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Capex $6.17B TTM, guided $7.3 - $7.9B for 2026; leverage to 3.9x</w:t>
            </w:r>
          </w:p>
          <w:p>
            <w:pPr>
              <w:spacing w:after="50"/>
              <w:ind w:left="12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Payout ratio 83.67%; debt $30.79B, debt/equity 2.00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7A7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ASSESSMENT: ALIGNMENT, NOT DIVERGENCE — the risk here is the balance sheet, not the chart.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This is the rarer, less dramatic setup: fundamentals and technicals point the same way, so there is no divergence to arbitrage. The framework's job is then to find what the alignment hides — and it is the funding gap. Williams is converting an 11%+ growth target into $7-8B of annual capex while paying out 84% of earnings, which turns free cash flow negative and pushes leverage to 3.9x against a 4.0x internal ceiling. The margin expansion is real and the demand is contracted; the question is not whether the projects earn, but what the equity costs while they are built. That is a 0.5 on Quality, not a 1.0 — and it is why this is a 2.5 rather than the 3.0 the light triage assigned.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2C7A7B" w:sz="6" w:space="2"/>
        </w:pBdr>
        <w:spacing w:after="120" w:before="26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Data-Center Power &amp; LNG — Is Williams the Right Horse?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f6d5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76749"/>
                <w:sz w:val="22"/>
                <w:szCs w:val="22"/>
              </w:rPr>
              <w:t xml:space="preserve">THE OPPORTUNITY (structural, and contracted)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365d"/>
                <w:sz w:val="19"/>
                <w:szCs w:val="19"/>
              </w:rPr>
              <w:t xml:space="preserve">1. LNG exports double within the decade</w:t>
            </w:r>
          </w:p>
          <w:p>
            <w:pPr>
              <w:spacing w:after="50"/>
              <w:ind w:left="12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Management expects US LNG exports to roughly double, with Haynesville production growing 10+ Bcf/d to feed it. Williams' Louisiana Energy Gateway and the new Momentum assets sit directly on that path from wellhead to Gulf Coast liquefaction.</w:t>
            </w:r>
          </w:p>
          <w:p>
            <w:pPr>
              <w:spacing w:after="30" w:before="60"/>
            </w:pPr>
            <w:r>
              <w:rPr>
                <w:rFonts w:ascii="Arial" w:cs="Arial" w:eastAsia="Arial" w:hAnsi="Arial"/>
                <w:b/>
                <w:bCs/>
                <w:color w:val="1a365d"/>
                <w:sz w:val="19"/>
                <w:szCs w:val="19"/>
              </w:rPr>
              <w:t xml:space="preserve">2. Transco is the data-center toll road</w:t>
            </w:r>
          </w:p>
          <w:p>
            <w:pPr>
              <w:spacing w:after="50"/>
              <w:ind w:left="12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Transco Power Express was upsized to an 800 Mcf/d expansion serving Virginia data centers and power demand. Southeast Supply Enhancement and Power Express are both described by management as purely organic — no acquisition required to capture them.</w:t>
            </w:r>
          </w:p>
          <w:p>
            <w:pPr>
              <w:spacing w:after="30" w:before="60"/>
            </w:pPr>
            <w:r>
              <w:rPr>
                <w:rFonts w:ascii="Arial" w:cs="Arial" w:eastAsia="Arial" w:hAnsi="Arial"/>
                <w:b/>
                <w:bCs/>
                <w:color w:val="1a365d"/>
                <w:sz w:val="19"/>
                <w:szCs w:val="19"/>
              </w:rPr>
              <w:t xml:space="preserve">3. Behind-the-meter, already in service</w:t>
            </w:r>
          </w:p>
          <w:p>
            <w:pPr>
              <w:spacing w:after="50"/>
              <w:ind w:left="12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Socrates Phase 1 reached 200 MW in service in under 18 months, and management reports discussions with multiple customers beyond the initial hyperscaler. Blackstone committed $5.34B to the Power Innovation JV, including $4.4B for 49% of growth capex at a capped 6.35% cost of equity.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bc8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05621"/>
                <w:sz w:val="22"/>
                <w:szCs w:val="22"/>
              </w:rPr>
              <w:t xml:space="preserve">THE CATCH (what the growth costs)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365d"/>
                <w:sz w:val="19"/>
                <w:szCs w:val="19"/>
              </w:rPr>
              <w:t xml:space="preserve">1. The growth is volume-led, not rate-led</w:t>
            </w:r>
          </w:p>
          <w:p>
            <w:pPr>
              <w:spacing w:after="50"/>
              <w:ind w:left="12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Management characterised growth as coming primarily through new infrastructure connections rather than rate increases. The framework's heuristic scores price/mix-led growth above volume-led — mitigated here because the volume is take-or-pay contracted against new structural demand, not a cyclical restock.</w:t>
            </w:r>
          </w:p>
          <w:p>
            <w:pPr>
              <w:spacing w:after="30" w:before="60"/>
            </w:pPr>
            <w:r>
              <w:rPr>
                <w:rFonts w:ascii="Arial" w:cs="Arial" w:eastAsia="Arial" w:hAnsi="Arial"/>
                <w:b/>
                <w:bCs/>
                <w:color w:val="1a365d"/>
                <w:sz w:val="19"/>
                <w:szCs w:val="19"/>
              </w:rPr>
              <w:t xml:space="preserve">2. Free cash flow has gone negative</w:t>
            </w:r>
          </w:p>
          <w:p>
            <w:pPr>
              <w:spacing w:after="50"/>
              <w:ind w:left="12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TTM FCF is -$174M against +$3,371M in FY2023. Operating cash flow is healthy at $5.99B; the gap is $6.17B of capex, guided to $7.3-7.9B in 2026. Every dollar of the 11%+ CAGR is being pre-funded.</w:t>
            </w:r>
          </w:p>
          <w:p>
            <w:pPr>
              <w:spacing w:after="30" w:before="60"/>
            </w:pPr>
            <w:r>
              <w:rPr>
                <w:rFonts w:ascii="Arial" w:cs="Arial" w:eastAsia="Arial" w:hAnsi="Arial"/>
                <w:b/>
                <w:bCs/>
                <w:color w:val="1a365d"/>
                <w:sz w:val="19"/>
                <w:szCs w:val="19"/>
              </w:rPr>
              <w:t xml:space="preserve">3. Paid for with debt and equity</w:t>
            </w:r>
          </w:p>
          <w:p>
            <w:pPr>
              <w:spacing w:after="50"/>
              <w:ind w:left="12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The $5.5B Momentum acquisition was $3.5B cash/debt plus $2B equity at ~8.5x projected 2027 EBITDA. Year-end leverage is guided to 3.9x against a 4.0x internal ceiling, leaving just over $2B of headroom.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65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TREND VERDICT: RIGHT HORSE, FULL PRICE — Williams is a pure-play on gas-fired power and LNG feedgas, not a peripheral beneficiary, and Blackstone underwriting 49% of growth capex at a capped 6.35% is third-party validation of that position. Unlike a narrative trade, the exposure is contracted and already partly in service. The discipline is on entry price and size, not on whether the thesis is real.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2C7A7B" w:sz="6" w:space="2"/>
        </w:pBdr>
        <w:spacing w:after="120" w:before="26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Q2 2026 Earnings Performance (reported August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Q2 2026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vs Prior / Consensus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FY 2026 Guidance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Revenue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$3.00B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5621"/>
                <w:sz w:val="18"/>
                <w:szCs w:val="18"/>
              </w:rPr>
              <w:t xml:space="preserve">+9.8% YoY | narrow MISS vs $3.002B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Adjusted EBITDA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6749"/>
                <w:sz w:val="18"/>
                <w:szCs w:val="18"/>
              </w:rPr>
              <w:t xml:space="preserve">$1.921B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6749"/>
                <w:sz w:val="18"/>
                <w:szCs w:val="18"/>
              </w:rPr>
              <w:t xml:space="preserve">+6% YoY | YTD $4.175B, +10%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6749"/>
                <w:sz w:val="18"/>
                <w:szCs w:val="18"/>
              </w:rPr>
              <w:t xml:space="preserve">$8.3 - $8.5B (RAISED $200M)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Adjusted EPS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$0.50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5621"/>
                <w:sz w:val="18"/>
                <w:szCs w:val="18"/>
              </w:rPr>
              <w:t xml:space="preserve">+8.7% YoY ($0.46) | MISS vs $0.52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Net Income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6749"/>
                <w:sz w:val="18"/>
                <w:szCs w:val="18"/>
              </w:rPr>
              <w:t xml:space="preserve">$827M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6749"/>
                <w:sz w:val="18"/>
                <w:szCs w:val="18"/>
              </w:rPr>
              <w:t xml:space="preserve">vs $546M a year ago (+51%)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AFFO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6749"/>
                <w:sz w:val="18"/>
                <w:szCs w:val="18"/>
              </w:rPr>
              <w:t xml:space="preserve">$1.5B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6749"/>
                <w:sz w:val="18"/>
                <w:szCs w:val="18"/>
              </w:rPr>
              <w:t xml:space="preserve">+10% YoY | 2.26x dividend coverage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Capex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5621"/>
                <w:sz w:val="18"/>
                <w:szCs w:val="18"/>
              </w:rPr>
              <w:t xml:space="preserve">$6.17B TTM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3030"/>
                <w:sz w:val="18"/>
                <w:szCs w:val="18"/>
              </w:rPr>
              <w:t xml:space="preserve">Drives FCF to -$174M TTM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5621"/>
                <w:sz w:val="18"/>
                <w:szCs w:val="18"/>
              </w:rPr>
              <w:t xml:space="preserve">$7.3 - $7.9B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Leverage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3.75x run-rate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5621"/>
                <w:sz w:val="18"/>
                <w:szCs w:val="18"/>
              </w:rPr>
              <w:t xml:space="preserve">Year-end guided 3.9x vs 4.0x ceiling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&gt;$2B headroom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2C7A7B" w:sz="6" w:space="2"/>
        </w:pBdr>
        <w:spacing w:after="120" w:before="26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Part 1 — Quality Check (Margins &amp; Profitability)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718096"/>
          <w:sz w:val="19"/>
          <w:szCs w:val="19"/>
        </w:rPr>
        <w:t xml:space="preserve">Question: Is the price move supported by margin trends?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Factor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Read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Margin Trend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6749"/>
                <w:sz w:val="18"/>
                <w:szCs w:val="18"/>
              </w:rPr>
              <w:t xml:space="preserve">CLEARLY EXPANDING — operating margin 31.41% (FY24) to 37.45% (FY25) to 38.14% (TTM); net margin 20.66% to 22.11% to 24.91%. Roughly 670bps of operating margin in two years.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Returns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6749"/>
                <w:sz w:val="18"/>
                <w:szCs w:val="18"/>
              </w:rPr>
              <w:t xml:space="preserve">IMPROVING off a healthy base — ROE 15.78% (FY24) to 18.55% (FY25) to 21.50%; ROIC 6.53% to 7.84% to 7.95%.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Free Cash Flow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3030"/>
                <w:sz w:val="18"/>
                <w:szCs w:val="18"/>
              </w:rPr>
              <w:t xml:space="preserve">NEGATIVE — -$174M TTM, against +$899M (FY25), +$2,296M (FY24) and +$3,371M (FY23). Operating cash flow is healthy at $5,994M; capex of $6,168M is the entire gap.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Balance Sheet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5621"/>
                <w:sz w:val="18"/>
                <w:szCs w:val="18"/>
              </w:rPr>
              <w:t xml:space="preserve">STRETCHING — total debt $30.79B, debt/equity 2.00, payout ratio 83.67%, leverage guided to 3.9x against a 4.0x internal ceiling.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Why margins moved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Structural, not cost-cutting: Transmission &amp; Gulf expansion projects entering service plus higher natural gas storage revenues — contracted capacity, which is why the gain has held for two consecutive years.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Key Insight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The margin series is genuinely expanding off a healthy base — this is not the LNG case where no reported series was moving. But the rubric's 1.0 requires strong FCF alongside expanding margins, and FCF is negative. Growth is being pre-funded with debt and equity while 84% of earnings goes out as dividends.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562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QUALITY SCORE: 0.5 / 1.0 — MARGINS EXPANDING, but FCF NEGATIVE ON A $7-8B CAPEX CYCLE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2C7A7B" w:sz="6" w:space="2"/>
        </w:pBdr>
        <w:spacing w:after="120" w:before="26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Part 2 — Growth Check (Segment &amp; Contract Momentum)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718096"/>
          <w:sz w:val="19"/>
          <w:szCs w:val="19"/>
        </w:rPr>
        <w:t xml:space="preserve">Question: Which division is driving growth? Is it sustainable?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1700"/>
        <w:gridCol w:w="3000"/>
      </w:tblGrid>
      <w:tr>
        <w:trPr>
          <w:tblHeader/>
        </w:trP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Segment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Q2 2026 Adj. EBITDA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Growth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Driver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Transmission &amp; Gulf of America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$959M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6749"/>
                <w:sz w:val="18"/>
                <w:szCs w:val="18"/>
              </w:rPr>
              <w:t xml:space="preserve">+6%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Gulf business +23%; higher gas storage revenue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Northeast G&amp;P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$540M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6749"/>
                <w:sz w:val="18"/>
                <w:szCs w:val="18"/>
              </w:rPr>
              <w:t xml:space="preserve">+8%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Rich gas volume growth; Blue Racer Midstream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West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$359M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6749"/>
                <w:sz w:val="18"/>
                <w:szCs w:val="18"/>
              </w:rPr>
              <w:t xml:space="preserve">+5%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Haynesville incl. Louisiana Energy Gateway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Gas &amp; NGL Marketing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5621"/>
                <w:sz w:val="18"/>
                <w:szCs w:val="18"/>
              </w:rPr>
              <w:t xml:space="preserve">-$1M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6749"/>
                <w:sz w:val="18"/>
                <w:szCs w:val="18"/>
              </w:rPr>
              <w:t xml:space="preserve">Improved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Loss narrowed from -$15M a year ago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9f0d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TOTAL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9f0d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6749"/>
                <w:sz w:val="18"/>
                <w:szCs w:val="18"/>
              </w:rPr>
              <w:t xml:space="preserve">$1.921B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9f0d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6749"/>
                <w:sz w:val="18"/>
                <w:szCs w:val="18"/>
              </w:rPr>
              <w:t xml:space="preserve">+6%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9f0d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All four segments positive or improving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f6d5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76749"/>
                <w:sz w:val="22"/>
                <w:szCs w:val="22"/>
              </w:rPr>
              <w:t xml:space="preserve">Guidance raised TWICE</w:t>
            </w:r>
          </w:p>
          <w:p>
            <w:pPr>
              <w:spacing w:after="50"/>
              <w:ind w:left="12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FY26 adjusted EBITDA lifted $200M to $8.3-8.5B.</w:t>
            </w:r>
          </w:p>
          <w:p>
            <w:pPr>
              <w:spacing w:after="50"/>
              <w:ind w:left="12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Long-term CAGR target lifted from 10%+ to 11%+ through 2030 — and management noted the 11% EXCLUDES commercialisation of any additional power or pipeline projects.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bc8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05621"/>
                <w:sz w:val="22"/>
                <w:szCs w:val="22"/>
              </w:rPr>
              <w:t xml:space="preserve">The one caveat</w:t>
            </w:r>
          </w:p>
          <w:p>
            <w:pPr>
              <w:spacing w:after="50"/>
              <w:ind w:left="12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Management describes growth as primarily volume-driven through new infrastructure connections rather than rate increases.</w:t>
            </w:r>
          </w:p>
          <w:p>
            <w:pPr>
              <w:spacing w:after="50"/>
              <w:ind w:left="12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The rubric normally caps volume-led growth at 0.5 — overridden here because the volume is take-or-pay contracted (Momentum adds 4+ Bcf/d of take-or-pay capacity) against secular LNG and data-center demand, not a cyclical restock.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674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GROWTH SCORE: 1.0 / 1.0 — SECULAR &amp; CONTRACTED; GUIDANCE RAISED ON BOTH THE YEAR AND THE DECADE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2C7A7B" w:sz="6" w:space="2"/>
        </w:pBdr>
        <w:spacing w:after="120" w:before="26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Part 3 — Peer Check (Relative Strength in Gas Infrastructure)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718096"/>
          <w:sz w:val="19"/>
          <w:szCs w:val="19"/>
        </w:rPr>
        <w:t xml:space="preserve">Question: Is Williams leading or lagging its peer group in the demand trend it is being bought for?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900"/>
        <w:gridCol w:w="2800"/>
      </w:tblGrid>
      <w:tr>
        <w:trPr>
          <w:tblHeader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Player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Position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Data-Center / LNG Exposure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9f0d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Williams (WMB)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9f0d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Operator of Transco — largest US interstate gas pipeline by volume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9f0d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6749"/>
                <w:sz w:val="18"/>
                <w:szCs w:val="18"/>
              </w:rPr>
              <w:t xml:space="preserve">Direct / pure-play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9f0d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200MW behind-the-meter already in service; Blackstone JV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Kinder Morgan (KMI)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Largest US gas network by mileage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Direct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The closest comparable on scale and franchise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ONEOK (OKE)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NGL-weighted midstream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Indirect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More NGL/liquids exposure than gas transmission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Energy Transfer (ET)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Diversified midstream MLP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Direct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Competing for the same LNG feedgas and power contracts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Targa (TRGP)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Permian G&amp;P and NGL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Peripheral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Gathering-led; not an interstate transmission franchise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f6d5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76749"/>
                <w:sz w:val="22"/>
                <w:szCs w:val="22"/>
              </w:rPr>
              <w:t xml:space="preserve">Evidence of leadership</w:t>
            </w:r>
          </w:p>
          <w:p>
            <w:pPr>
              <w:spacing w:after="50"/>
              <w:ind w:left="12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Socrates Phase 1: 200 MW in service in under 18 months — execution, not a press release.</w:t>
            </w:r>
          </w:p>
          <w:p>
            <w:pPr>
              <w:spacing w:after="50"/>
              <w:ind w:left="12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Blackstone committed $5.34B including $4.4B for 49% of growth capex at a CAPPED 6.35% cost of equity. A counterparty of that quality accepting a capped return is third-party underwriting of the franchise.</w:t>
            </w:r>
          </w:p>
          <w:p>
            <w:pPr>
              <w:spacing w:after="50"/>
              <w:ind w:left="12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Southeast Supply Enhancement and Transco Power Express are organic expansions of an asset competitors cannot replicate.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af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365d"/>
                <w:sz w:val="22"/>
                <w:szCs w:val="22"/>
              </w:rPr>
              <w:t xml:space="preserve">Relative performance</w:t>
            </w:r>
          </w:p>
          <w:p>
            <w:pPr>
              <w:spacing w:after="50"/>
              <w:ind w:left="12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+33.03% over 12 months with a Strong Buy consensus from 20 analysts — the broadest coverage in the energy names on this screener.</w:t>
            </w:r>
          </w:p>
          <w:p>
            <w:pPr>
              <w:spacing w:after="50"/>
              <w:ind w:left="12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Momentum Midstream acquired at ~8.5x projected 2027 EBITDA, expected to compress through synergies — a disciplined multiple for 6 Bcf/d of gathering capacity.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674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PEER SCORE: 1.0 / 1.0 — CLEAR LEADER; PURE-PLAY, NOT A NARRATIVE BENEFICIARY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2C7A7B" w:sz="6" w:space="2"/>
        </w:pBdr>
        <w:spacing w:after="120" w:before="26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Technical Analysis — Bullish and Consolidating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Indicator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Price (09-09 close)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$75.83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6749"/>
                <w:sz w:val="18"/>
                <w:szCs w:val="18"/>
              </w:rPr>
              <w:t xml:space="preserve">6.5% below 52-wk high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52-week range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$56.19 - $80.08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6749"/>
                <w:sz w:val="18"/>
                <w:szCs w:val="18"/>
              </w:rPr>
              <w:t xml:space="preserve">+33.03% (1-yr)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RSI (14-day)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45.7 - 53.8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6749"/>
                <w:sz w:val="18"/>
                <w:szCs w:val="18"/>
              </w:rPr>
              <w:t xml:space="preserve">NEUTRAL — room either way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50-day MA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$73.34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6749"/>
                <w:sz w:val="18"/>
                <w:szCs w:val="18"/>
              </w:rPr>
              <w:t xml:space="preserve">Price ABOVE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200-day MA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$67.17 - $70.32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6749"/>
                <w:sz w:val="18"/>
                <w:szCs w:val="18"/>
              </w:rPr>
              <w:t xml:space="preserve">Price ABOVE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Support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$71.53 / $70.65 / $69.09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65d"/>
                <w:sz w:val="18"/>
                <w:szCs w:val="18"/>
              </w:rPr>
              <w:t xml:space="preserve">Stop sits below all three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Resistance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$75.53 / $76.41 / $80.08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5621"/>
                <w:sz w:val="18"/>
                <w:szCs w:val="18"/>
              </w:rPr>
              <w:t xml:space="preserve">Range top, then the high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Analyst consensus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Strong Buy (20) · $85.47 avg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6749"/>
                <w:sz w:val="18"/>
                <w:szCs w:val="18"/>
              </w:rPr>
              <w:t xml:space="preserve">BULLISH (+12.7%)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Target range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$69 low - $103 high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5621"/>
                <w:sz w:val="18"/>
                <w:szCs w:val="18"/>
              </w:rPr>
              <w:t xml:space="preserve">Low target sits AT our stop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Beta / Yield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0.62 · 2.81%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6749"/>
                <w:sz w:val="18"/>
                <w:szCs w:val="18"/>
              </w:rPr>
              <w:t xml:space="preserve">Defensive profile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Valuation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PE 30.21 · EV/EBITDA 17.36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5621"/>
                <w:sz w:val="18"/>
                <w:szCs w:val="18"/>
              </w:rPr>
              <w:t xml:space="preserve">RICH for midstream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2C7A7B" w:sz="6" w:space="2"/>
        </w:pBdr>
        <w:spacing w:after="120" w:before="26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Framework Score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rPr>
          <w:tblHeader/>
        </w:trPr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Framework Component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</w:tr>
      <w:tr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Part 1: Quality Check (Margins &amp; FCF)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5621"/>
                <w:sz w:val="18"/>
                <w:szCs w:val="18"/>
              </w:rPr>
              <w:t xml:space="preserve">0.5 / 1.0 — Margins expanding (op 31.4%→38.1%), but FCF -$174M</w:t>
            </w:r>
          </w:p>
        </w:tc>
      </w:tr>
      <w:tr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Part 2: Growth Check (Segment &amp; Contracts)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6749"/>
                <w:sz w:val="18"/>
                <w:szCs w:val="18"/>
              </w:rPr>
              <w:t xml:space="preserve">1.0 / 1.0 — Secular, contracted; guidance raised twice</w:t>
            </w:r>
          </w:p>
        </w:tc>
      </w:tr>
      <w:tr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Part 3: Peer Check (Gas infrastructure)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6749"/>
                <w:sz w:val="18"/>
                <w:szCs w:val="18"/>
              </w:rPr>
              <w:t xml:space="preserve">1.0 / 1.0 — Transco franchise; pure-play leader</w:t>
            </w:r>
          </w:p>
        </w:tc>
      </w:tr>
      <w:tr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TOTAL FRAMEWORK SCORE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18"/>
                <w:szCs w:val="18"/>
              </w:rPr>
              <w:t xml:space="preserve">2.5 / 3.0</w:t>
            </w:r>
          </w:p>
        </w:tc>
      </w:tr>
      <w:tr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c6f6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TECHNICAL OVERLAY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c6f6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BULLISH &amp; CONSOLIDATING — RSI 46-54, above 50/200-day, 6.5% below high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674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VERDICT: BUY / ADD — ALIGNMENT, SIZED FOR THE BALANCE SHEET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EE2C8"/>
                <w:sz w:val="19"/>
                <w:szCs w:val="19"/>
              </w:rPr>
              <w:t xml:space="preserve">ACCUMULATE ZONE: 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$70.50 - $75.00 (between the 200-day and the EMA-50)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EE2C8"/>
                <w:sz w:val="19"/>
                <w:szCs w:val="19"/>
              </w:rPr>
              <w:t xml:space="preserve">HARD STOP: 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$69.50 (below the 200-day and the $69.09 shelf)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EE2C8"/>
                <w:sz w:val="19"/>
                <w:szCs w:val="19"/>
              </w:rPr>
              <w:t xml:space="preserve">STREET TARGET: 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$85.47 consensus (+12.7%) | stretch $103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EE2C8"/>
                <w:sz w:val="19"/>
                <w:szCs w:val="19"/>
              </w:rPr>
              <w:t xml:space="preserve">POSITION SIZE: 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Maximum 5% of account; no options — no dated catalyst inside 90 days is confirmed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EE2C8"/>
                <w:sz w:val="19"/>
                <w:szCs w:val="19"/>
              </w:rPr>
              <w:t xml:space="preserve">EXISTING POSITION: 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HOLD and add on weakness toward the 200-day | do not add above $76.41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Reasoning: Fundamentals score 2.5/3 and technicals are bullish without being stretched, which the rubric maps directly to BUY / ADD. There is no divergence to exploit here — the two sides agree — so the discipline moves from timing to sizing. The single reservation is Quality: free cash flow has swung from +$3.37B (FY23) to -$174M on a capex programme guided at $7.3-7.9B for 2026, with leverage heading to 3.9x against a 4.0x ceiling and 84% of earnings paid out. That is a deliberate, contracted, well-underwritten build — Blackstone is funding 49% of growth capex at a capped 6.35% — but it means the equity carries construction risk until those projects earn. Buy it toward the 200-day rather than at the range top, keep the stop at $69.50, and note that the lowest Street target ($69) sits exactly there: if the low case is right, the stop is the trade.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i/>
          <w:iCs/>
          <w:color w:val="718096"/>
          <w:sz w:val="15"/>
          <w:szCs w:val="15"/>
        </w:rPr>
        <w:t xml:space="preserve">Not investment advice. This framework analysis is for informational purposes only and reflects publicly reported figures as of Wednesday, September 9, 2026. Figures are drawn from company results and third-party market data and may be revised. Always do your own due diligence.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5"/>
        <w:szCs w:val="15"/>
      </w:rPr>
      <w:t xml:space="preserve">“Identify with Momentum, Verify with Fundamentals”   ·   WMB — The Williams Companies, Inc.   ·   Page </w:t>
    </w:r>
    <w:r>
      <w:rPr>
        <w:rFonts w:ascii="Arial" w:cs="Arial" w:eastAsia="Arial" w:hAnsi="Arial"/>
        <w:color w:val="718096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2026-09-09T15:42:45.992Z</dcterms:created>
  <dcterms:modified xsi:type="dcterms:W3CDTF">2026-09-09T15:42:45.992Z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