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FAE7F" w14:textId="77777777" w:rsidR="008128F6" w:rsidRDefault="008128F6" w:rsidP="008128F6">
      <w:pPr>
        <w:jc w:val="center"/>
        <w:rPr>
          <w:b/>
          <w:bCs/>
          <w:sz w:val="72"/>
          <w:szCs w:val="72"/>
        </w:rPr>
      </w:pPr>
    </w:p>
    <w:p w14:paraId="1753BD5C" w14:textId="77777777" w:rsidR="008128F6" w:rsidRDefault="008128F6" w:rsidP="008128F6">
      <w:pPr>
        <w:jc w:val="center"/>
        <w:rPr>
          <w:b/>
          <w:bCs/>
          <w:sz w:val="72"/>
          <w:szCs w:val="72"/>
        </w:rPr>
      </w:pPr>
    </w:p>
    <w:p w14:paraId="0B365AEF" w14:textId="77777777" w:rsidR="008128F6" w:rsidRDefault="008128F6" w:rsidP="008128F6">
      <w:pPr>
        <w:jc w:val="center"/>
        <w:rPr>
          <w:b/>
          <w:bCs/>
          <w:sz w:val="72"/>
          <w:szCs w:val="72"/>
        </w:rPr>
      </w:pPr>
    </w:p>
    <w:p w14:paraId="43639128" w14:textId="77777777" w:rsidR="008128F6" w:rsidRDefault="008128F6" w:rsidP="008128F6">
      <w:pPr>
        <w:jc w:val="center"/>
        <w:rPr>
          <w:b/>
          <w:bCs/>
          <w:sz w:val="72"/>
          <w:szCs w:val="72"/>
        </w:rPr>
      </w:pPr>
    </w:p>
    <w:p w14:paraId="172AE413" w14:textId="3F4B3601" w:rsidR="00342CB8" w:rsidRDefault="008128F6" w:rsidP="008128F6">
      <w:pPr>
        <w:jc w:val="center"/>
        <w:rPr>
          <w:b/>
          <w:bCs/>
          <w:sz w:val="72"/>
          <w:szCs w:val="72"/>
        </w:rPr>
      </w:pPr>
      <w:r w:rsidRPr="008128F6">
        <w:rPr>
          <w:b/>
          <w:bCs/>
          <w:sz w:val="72"/>
          <w:szCs w:val="72"/>
        </w:rPr>
        <w:t>Signature Assessment</w:t>
      </w:r>
      <w:r w:rsidRPr="008128F6">
        <w:rPr>
          <w:rFonts w:hint="eastAsia"/>
          <w:b/>
          <w:bCs/>
          <w:sz w:val="72"/>
          <w:szCs w:val="72"/>
        </w:rPr>
        <w:t xml:space="preserve"> 1</w:t>
      </w:r>
    </w:p>
    <w:p w14:paraId="48573095" w14:textId="77777777" w:rsidR="008128F6" w:rsidRDefault="008128F6" w:rsidP="008128F6">
      <w:pPr>
        <w:jc w:val="center"/>
        <w:rPr>
          <w:sz w:val="28"/>
          <w:szCs w:val="28"/>
        </w:rPr>
      </w:pPr>
    </w:p>
    <w:p w14:paraId="2C7A6E86" w14:textId="77777777" w:rsidR="008128F6" w:rsidRDefault="008128F6" w:rsidP="008128F6">
      <w:pPr>
        <w:jc w:val="center"/>
        <w:rPr>
          <w:sz w:val="28"/>
          <w:szCs w:val="28"/>
        </w:rPr>
      </w:pPr>
    </w:p>
    <w:p w14:paraId="55FE4D8A" w14:textId="53EFAADB" w:rsidR="008128F6" w:rsidRPr="008128F6" w:rsidRDefault="008128F6" w:rsidP="008128F6">
      <w:pPr>
        <w:jc w:val="center"/>
        <w:rPr>
          <w:sz w:val="28"/>
          <w:szCs w:val="28"/>
        </w:rPr>
      </w:pPr>
      <w:r w:rsidRPr="008128F6">
        <w:rPr>
          <w:rFonts w:hint="eastAsia"/>
          <w:sz w:val="28"/>
          <w:szCs w:val="28"/>
        </w:rPr>
        <w:t xml:space="preserve">Course: </w:t>
      </w:r>
      <w:r w:rsidRPr="008128F6">
        <w:rPr>
          <w:sz w:val="28"/>
          <w:szCs w:val="28"/>
        </w:rPr>
        <w:t>ALY6120</w:t>
      </w:r>
    </w:p>
    <w:p w14:paraId="2EDF0102" w14:textId="4EB335C1" w:rsidR="008128F6" w:rsidRPr="008128F6" w:rsidRDefault="008128F6" w:rsidP="008128F6">
      <w:pPr>
        <w:jc w:val="center"/>
        <w:rPr>
          <w:sz w:val="28"/>
          <w:szCs w:val="28"/>
        </w:rPr>
      </w:pPr>
      <w:r w:rsidRPr="008128F6">
        <w:rPr>
          <w:rFonts w:hint="eastAsia"/>
          <w:sz w:val="28"/>
          <w:szCs w:val="28"/>
        </w:rPr>
        <w:t xml:space="preserve">By: </w:t>
      </w:r>
      <w:proofErr w:type="spellStart"/>
      <w:r w:rsidRPr="008128F6">
        <w:rPr>
          <w:rFonts w:hint="eastAsia"/>
          <w:sz w:val="28"/>
          <w:szCs w:val="28"/>
        </w:rPr>
        <w:t>Jiansheng</w:t>
      </w:r>
      <w:proofErr w:type="spellEnd"/>
      <w:r w:rsidRPr="008128F6">
        <w:rPr>
          <w:rFonts w:hint="eastAsia"/>
          <w:sz w:val="28"/>
          <w:szCs w:val="28"/>
        </w:rPr>
        <w:t xml:space="preserve"> </w:t>
      </w:r>
      <w:proofErr w:type="spellStart"/>
      <w:r w:rsidRPr="008128F6">
        <w:rPr>
          <w:rFonts w:hint="eastAsia"/>
          <w:sz w:val="28"/>
          <w:szCs w:val="28"/>
        </w:rPr>
        <w:t>Shentu</w:t>
      </w:r>
      <w:proofErr w:type="spellEnd"/>
    </w:p>
    <w:p w14:paraId="4FCAD7D0" w14:textId="7E93C1A1" w:rsidR="008128F6" w:rsidRDefault="008128F6" w:rsidP="008128F6">
      <w:pPr>
        <w:jc w:val="center"/>
        <w:rPr>
          <w:sz w:val="28"/>
          <w:szCs w:val="28"/>
        </w:rPr>
      </w:pPr>
      <w:r w:rsidRPr="008128F6">
        <w:rPr>
          <w:rFonts w:hint="eastAsia"/>
          <w:sz w:val="28"/>
          <w:szCs w:val="28"/>
        </w:rPr>
        <w:t xml:space="preserve">Instructor: Professor </w:t>
      </w:r>
      <w:proofErr w:type="spellStart"/>
      <w:r w:rsidRPr="008128F6">
        <w:rPr>
          <w:sz w:val="28"/>
          <w:szCs w:val="28"/>
        </w:rPr>
        <w:t>Abeba</w:t>
      </w:r>
      <w:proofErr w:type="spellEnd"/>
      <w:r w:rsidRPr="008128F6">
        <w:rPr>
          <w:sz w:val="28"/>
          <w:szCs w:val="28"/>
        </w:rPr>
        <w:t xml:space="preserve"> N. Turi</w:t>
      </w:r>
    </w:p>
    <w:p w14:paraId="05784783" w14:textId="77777777" w:rsidR="008128F6" w:rsidRDefault="008128F6">
      <w:pPr>
        <w:rPr>
          <w:sz w:val="28"/>
          <w:szCs w:val="28"/>
        </w:rPr>
      </w:pPr>
      <w:r>
        <w:rPr>
          <w:sz w:val="28"/>
          <w:szCs w:val="28"/>
        </w:rPr>
        <w:br w:type="page"/>
      </w:r>
    </w:p>
    <w:p w14:paraId="37F2F452" w14:textId="41B4AC14" w:rsidR="008128F6" w:rsidRPr="00BD0A58" w:rsidRDefault="00385B88" w:rsidP="008128F6">
      <w:pPr>
        <w:rPr>
          <w:b/>
          <w:bCs/>
          <w:sz w:val="28"/>
          <w:szCs w:val="28"/>
        </w:rPr>
      </w:pPr>
      <w:r w:rsidRPr="00BD0A58">
        <w:rPr>
          <w:b/>
          <w:bCs/>
          <w:sz w:val="28"/>
          <w:szCs w:val="28"/>
        </w:rPr>
        <w:lastRenderedPageBreak/>
        <w:t>Define the Business Problem</w:t>
      </w:r>
      <w:r w:rsidRPr="00BD0A58">
        <w:rPr>
          <w:rFonts w:hint="eastAsia"/>
          <w:b/>
          <w:bCs/>
          <w:sz w:val="28"/>
          <w:szCs w:val="28"/>
        </w:rPr>
        <w:t>:</w:t>
      </w:r>
    </w:p>
    <w:p w14:paraId="15F9F457" w14:textId="3880FCED" w:rsidR="00385B88" w:rsidRDefault="00385B88" w:rsidP="00385B88">
      <w:pPr>
        <w:ind w:firstLine="720"/>
        <w:rPr>
          <w:sz w:val="28"/>
          <w:szCs w:val="28"/>
        </w:rPr>
      </w:pPr>
      <w:r w:rsidRPr="00385B88">
        <w:rPr>
          <w:sz w:val="28"/>
          <w:szCs w:val="28"/>
        </w:rPr>
        <w:t>The banking industry faces escalating risks of financial fraud due to the rapid growth of digital transactions and online banking. Traditional rule-based models fail to detect new fraud patterns, while front-line employees often lack sufficient awareness to recognize and report suspicious behavior. The business problem, therefore, lies in the absence of an integrated fraud-detection ecosystem—one that combines data-driven analytics with employee training and organizational awareness to prevent fraud effectively and sustain customer trust.</w:t>
      </w:r>
    </w:p>
    <w:p w14:paraId="4618DFE4" w14:textId="77777777" w:rsidR="00385B88" w:rsidRDefault="00385B88" w:rsidP="00385B88">
      <w:pPr>
        <w:rPr>
          <w:sz w:val="28"/>
          <w:szCs w:val="28"/>
        </w:rPr>
      </w:pPr>
    </w:p>
    <w:p w14:paraId="3F362330" w14:textId="68F7BEC6" w:rsidR="00385B88" w:rsidRPr="00BD0A58" w:rsidRDefault="00385B88" w:rsidP="00385B88">
      <w:pPr>
        <w:rPr>
          <w:b/>
          <w:bCs/>
          <w:sz w:val="28"/>
          <w:szCs w:val="28"/>
        </w:rPr>
      </w:pPr>
      <w:r w:rsidRPr="00BD0A58">
        <w:rPr>
          <w:b/>
          <w:bCs/>
          <w:sz w:val="28"/>
          <w:szCs w:val="28"/>
        </w:rPr>
        <w:t>Business Objectives</w:t>
      </w:r>
      <w:r w:rsidRPr="00BD0A58">
        <w:rPr>
          <w:rFonts w:hint="eastAsia"/>
          <w:b/>
          <w:bCs/>
          <w:sz w:val="28"/>
          <w:szCs w:val="28"/>
        </w:rPr>
        <w:t>:</w:t>
      </w:r>
    </w:p>
    <w:p w14:paraId="5FEDB62A" w14:textId="1F2DDD89" w:rsidR="00385B88" w:rsidRDefault="00385B88" w:rsidP="00385B88">
      <w:pPr>
        <w:pStyle w:val="ListParagraph"/>
        <w:numPr>
          <w:ilvl w:val="0"/>
          <w:numId w:val="2"/>
        </w:numPr>
        <w:rPr>
          <w:sz w:val="28"/>
          <w:szCs w:val="28"/>
        </w:rPr>
      </w:pPr>
      <w:r w:rsidRPr="00385B88">
        <w:rPr>
          <w:sz w:val="28"/>
          <w:szCs w:val="28"/>
        </w:rPr>
        <w:t>Develop</w:t>
      </w:r>
      <w:r>
        <w:rPr>
          <w:rFonts w:hint="eastAsia"/>
          <w:sz w:val="28"/>
          <w:szCs w:val="28"/>
        </w:rPr>
        <w:t xml:space="preserve"> and improve</w:t>
      </w:r>
      <w:r w:rsidRPr="00385B88">
        <w:rPr>
          <w:sz w:val="28"/>
          <w:szCs w:val="28"/>
        </w:rPr>
        <w:t xml:space="preserve"> </w:t>
      </w:r>
      <w:r>
        <w:rPr>
          <w:rFonts w:hint="eastAsia"/>
          <w:sz w:val="28"/>
          <w:szCs w:val="28"/>
        </w:rPr>
        <w:t>the</w:t>
      </w:r>
      <w:r w:rsidRPr="00385B88">
        <w:rPr>
          <w:sz w:val="28"/>
          <w:szCs w:val="28"/>
        </w:rPr>
        <w:t xml:space="preserve"> predictive analytics system that </w:t>
      </w:r>
      <w:r>
        <w:rPr>
          <w:rFonts w:hint="eastAsia"/>
          <w:sz w:val="28"/>
          <w:szCs w:val="28"/>
        </w:rPr>
        <w:t xml:space="preserve">can </w:t>
      </w:r>
      <w:r w:rsidRPr="00385B88">
        <w:rPr>
          <w:sz w:val="28"/>
          <w:szCs w:val="28"/>
        </w:rPr>
        <w:t>detect abnormal transaction patterns</w:t>
      </w:r>
      <w:r>
        <w:rPr>
          <w:rFonts w:hint="eastAsia"/>
          <w:sz w:val="28"/>
          <w:szCs w:val="28"/>
        </w:rPr>
        <w:t xml:space="preserve">, account </w:t>
      </w:r>
      <w:proofErr w:type="gramStart"/>
      <w:r>
        <w:rPr>
          <w:sz w:val="28"/>
          <w:szCs w:val="28"/>
        </w:rPr>
        <w:t>activities</w:t>
      </w:r>
      <w:r>
        <w:rPr>
          <w:rFonts w:hint="eastAsia"/>
          <w:sz w:val="28"/>
          <w:szCs w:val="28"/>
        </w:rPr>
        <w:t xml:space="preserve"> </w:t>
      </w:r>
      <w:r w:rsidRPr="00385B88">
        <w:rPr>
          <w:sz w:val="28"/>
          <w:szCs w:val="28"/>
        </w:rPr>
        <w:t xml:space="preserve"> and</w:t>
      </w:r>
      <w:proofErr w:type="gramEnd"/>
      <w:r w:rsidRPr="00385B88">
        <w:rPr>
          <w:sz w:val="28"/>
          <w:szCs w:val="28"/>
        </w:rPr>
        <w:t xml:space="preserve"> alerts investigators in real time.</w:t>
      </w:r>
    </w:p>
    <w:p w14:paraId="1ED9D947" w14:textId="1AB6496B" w:rsidR="00385B88" w:rsidRDefault="00385B88" w:rsidP="00385B88">
      <w:pPr>
        <w:pStyle w:val="ListParagraph"/>
        <w:numPr>
          <w:ilvl w:val="0"/>
          <w:numId w:val="2"/>
        </w:numPr>
        <w:rPr>
          <w:sz w:val="28"/>
          <w:szCs w:val="28"/>
        </w:rPr>
      </w:pPr>
      <w:r w:rsidRPr="00385B88">
        <w:rPr>
          <w:sz w:val="28"/>
          <w:szCs w:val="28"/>
        </w:rPr>
        <w:t xml:space="preserve">Improve employee fraud awareness through analytics-supported </w:t>
      </w:r>
      <w:r>
        <w:rPr>
          <w:rFonts w:hint="eastAsia"/>
          <w:sz w:val="28"/>
          <w:szCs w:val="28"/>
        </w:rPr>
        <w:t xml:space="preserve">and different </w:t>
      </w:r>
      <w:r w:rsidRPr="00385B88">
        <w:rPr>
          <w:sz w:val="28"/>
          <w:szCs w:val="28"/>
        </w:rPr>
        <w:t>training modules that visualize real case data and enhance decision-making.</w:t>
      </w:r>
    </w:p>
    <w:p w14:paraId="4098956A" w14:textId="714153E3" w:rsidR="00385B88" w:rsidRDefault="00385B88" w:rsidP="00385B88">
      <w:pPr>
        <w:pStyle w:val="ListParagraph"/>
        <w:numPr>
          <w:ilvl w:val="0"/>
          <w:numId w:val="2"/>
        </w:numPr>
        <w:rPr>
          <w:sz w:val="28"/>
          <w:szCs w:val="28"/>
        </w:rPr>
      </w:pPr>
      <w:r w:rsidRPr="00385B88">
        <w:rPr>
          <w:sz w:val="28"/>
          <w:szCs w:val="28"/>
        </w:rPr>
        <w:t xml:space="preserve">Reduce overall fraud-related losses by at least </w:t>
      </w:r>
      <w:r>
        <w:rPr>
          <w:rFonts w:hint="eastAsia"/>
          <w:sz w:val="28"/>
          <w:szCs w:val="28"/>
        </w:rPr>
        <w:t>20</w:t>
      </w:r>
      <w:r w:rsidRPr="00385B88">
        <w:rPr>
          <w:sz w:val="28"/>
          <w:szCs w:val="28"/>
        </w:rPr>
        <w:t>% within the first year of system implementation.</w:t>
      </w:r>
    </w:p>
    <w:p w14:paraId="08477D9A" w14:textId="77777777" w:rsidR="00385B88" w:rsidRDefault="00385B88" w:rsidP="00385B88">
      <w:pPr>
        <w:ind w:left="360"/>
        <w:rPr>
          <w:sz w:val="28"/>
          <w:szCs w:val="28"/>
        </w:rPr>
      </w:pPr>
    </w:p>
    <w:p w14:paraId="3E5C32EC" w14:textId="42402EDB" w:rsidR="00385B88" w:rsidRPr="00BD0A58" w:rsidRDefault="00385B88" w:rsidP="00385B88">
      <w:pPr>
        <w:ind w:left="360"/>
        <w:rPr>
          <w:b/>
          <w:bCs/>
          <w:sz w:val="28"/>
          <w:szCs w:val="28"/>
        </w:rPr>
      </w:pPr>
      <w:r w:rsidRPr="00BD0A58">
        <w:rPr>
          <w:b/>
          <w:bCs/>
          <w:sz w:val="28"/>
          <w:szCs w:val="28"/>
        </w:rPr>
        <w:t>Leadership Requirements</w:t>
      </w:r>
      <w:r w:rsidRPr="00BD0A58">
        <w:rPr>
          <w:rFonts w:hint="eastAsia"/>
          <w:b/>
          <w:bCs/>
          <w:sz w:val="28"/>
          <w:szCs w:val="28"/>
        </w:rPr>
        <w:t>:</w:t>
      </w:r>
    </w:p>
    <w:p w14:paraId="7A135BDD" w14:textId="0E2FE54D" w:rsidR="00385B88" w:rsidRDefault="00385B88" w:rsidP="00385B88">
      <w:pPr>
        <w:pStyle w:val="ListParagraph"/>
        <w:numPr>
          <w:ilvl w:val="0"/>
          <w:numId w:val="3"/>
        </w:numPr>
        <w:rPr>
          <w:sz w:val="28"/>
          <w:szCs w:val="28"/>
        </w:rPr>
      </w:pPr>
      <w:r w:rsidRPr="00385B88">
        <w:rPr>
          <w:sz w:val="28"/>
          <w:szCs w:val="28"/>
        </w:rPr>
        <w:t>Implement continuous training programs to enhance staff literacy in fraud indicators, using insights derived from analytical models.</w:t>
      </w:r>
    </w:p>
    <w:p w14:paraId="68C26B22" w14:textId="42054C69" w:rsidR="00385B88" w:rsidRDefault="00385B88" w:rsidP="00385B88">
      <w:pPr>
        <w:pStyle w:val="ListParagraph"/>
        <w:numPr>
          <w:ilvl w:val="0"/>
          <w:numId w:val="3"/>
        </w:numPr>
        <w:rPr>
          <w:sz w:val="28"/>
          <w:szCs w:val="28"/>
        </w:rPr>
      </w:pPr>
      <w:r w:rsidRPr="00385B88">
        <w:rPr>
          <w:sz w:val="28"/>
          <w:szCs w:val="28"/>
        </w:rPr>
        <w:t>Foster ethical leadership and transparency, ensuring that analytics tools are used responsibly and comply with financial regulations and data-privacy laws.</w:t>
      </w:r>
    </w:p>
    <w:p w14:paraId="2367FFB5" w14:textId="2F3BE77B" w:rsidR="00385B88" w:rsidRDefault="002C2CBE" w:rsidP="00385B88">
      <w:pPr>
        <w:pStyle w:val="ListParagraph"/>
        <w:numPr>
          <w:ilvl w:val="0"/>
          <w:numId w:val="3"/>
        </w:numPr>
        <w:rPr>
          <w:sz w:val="28"/>
          <w:szCs w:val="28"/>
        </w:rPr>
      </w:pPr>
      <w:r w:rsidRPr="002C2CBE">
        <w:rPr>
          <w:sz w:val="28"/>
          <w:szCs w:val="28"/>
        </w:rPr>
        <w:t>Measure and communicate key performance indicators—such as detection rate, false-positive reduction, response time, and training participation—to demonstrate organizational impact and sustain commitment.</w:t>
      </w:r>
    </w:p>
    <w:p w14:paraId="433E22F6" w14:textId="1A8400AC" w:rsidR="002C2CBE" w:rsidRPr="00BD0A58" w:rsidRDefault="00BD0A58" w:rsidP="002C2CBE">
      <w:pPr>
        <w:ind w:left="360"/>
        <w:rPr>
          <w:b/>
          <w:bCs/>
          <w:sz w:val="28"/>
          <w:szCs w:val="28"/>
        </w:rPr>
      </w:pPr>
      <w:r w:rsidRPr="00BD0A58">
        <w:rPr>
          <w:rFonts w:hint="eastAsia"/>
          <w:b/>
          <w:bCs/>
          <w:sz w:val="28"/>
          <w:szCs w:val="28"/>
        </w:rPr>
        <w:lastRenderedPageBreak/>
        <w:t>C</w:t>
      </w:r>
      <w:r w:rsidRPr="00BD0A58">
        <w:rPr>
          <w:b/>
          <w:bCs/>
          <w:sz w:val="28"/>
          <w:szCs w:val="28"/>
        </w:rPr>
        <w:t>onnecting the business problem to a possible data mining solution</w:t>
      </w:r>
      <w:r w:rsidRPr="00BD0A58">
        <w:rPr>
          <w:rFonts w:hint="eastAsia"/>
          <w:b/>
          <w:bCs/>
          <w:sz w:val="28"/>
          <w:szCs w:val="28"/>
        </w:rPr>
        <w:t>:</w:t>
      </w:r>
    </w:p>
    <w:p w14:paraId="777FF91A" w14:textId="466C0EFD" w:rsidR="00BD0A58" w:rsidRDefault="00BD0A58" w:rsidP="00BD0A58">
      <w:pPr>
        <w:ind w:left="360" w:firstLine="360"/>
        <w:rPr>
          <w:sz w:val="28"/>
          <w:szCs w:val="28"/>
        </w:rPr>
      </w:pPr>
      <w:r w:rsidRPr="00BD0A58">
        <w:rPr>
          <w:sz w:val="28"/>
          <w:szCs w:val="28"/>
        </w:rPr>
        <w:t>Following the CRISP-DM framework (Chapman et al., 2000; Ellis &amp; Levy, 2008), the bank can transform its reactive process into a proactive analytics-driven system, the bank can transform its current reactive fraud-control process into a proactive, analytics-driven system. Historical transaction data, account activity logs, and customer behavior records can be integrated to build classification and anomaly-detection models such as logistic regression, random forest, and neural networks</w:t>
      </w:r>
      <w:r>
        <w:rPr>
          <w:rFonts w:hint="eastAsia"/>
          <w:sz w:val="28"/>
          <w:szCs w:val="28"/>
        </w:rPr>
        <w:t>, etc</w:t>
      </w:r>
      <w:r w:rsidRPr="00BD0A58">
        <w:rPr>
          <w:sz w:val="28"/>
          <w:szCs w:val="28"/>
        </w:rPr>
        <w:t>. These models will identify unusual spending or login patterns that signal potential fraud in real time. The insights generated will also feed into employee training programs, allowing staff to visualize emerging fraud trends and strengthen situational awareness. Through iterative model evaluation and feedback from front-line employees, the organization will establish a continuous learning loop where both human and machine intelligence evolve together to protect assets and maintain customer trust.</w:t>
      </w:r>
    </w:p>
    <w:p w14:paraId="3A87CB5D" w14:textId="77777777" w:rsidR="00BD0A58" w:rsidRDefault="00BD0A58">
      <w:pPr>
        <w:rPr>
          <w:sz w:val="28"/>
          <w:szCs w:val="28"/>
        </w:rPr>
      </w:pPr>
      <w:r>
        <w:rPr>
          <w:sz w:val="28"/>
          <w:szCs w:val="28"/>
        </w:rPr>
        <w:br w:type="page"/>
      </w:r>
    </w:p>
    <w:p w14:paraId="7164F163" w14:textId="17325FF3" w:rsidR="00BD0A58" w:rsidRPr="00BD0A58" w:rsidRDefault="00BD0A58" w:rsidP="00BD0A58">
      <w:pPr>
        <w:rPr>
          <w:rFonts w:hint="eastAsia"/>
          <w:b/>
          <w:bCs/>
          <w:sz w:val="28"/>
          <w:szCs w:val="28"/>
        </w:rPr>
      </w:pPr>
      <w:r w:rsidRPr="00BD0A58">
        <w:rPr>
          <w:b/>
          <w:bCs/>
          <w:sz w:val="28"/>
          <w:szCs w:val="28"/>
        </w:rPr>
        <w:lastRenderedPageBreak/>
        <w:t>References</w:t>
      </w:r>
      <w:r w:rsidRPr="00BD0A58">
        <w:rPr>
          <w:rFonts w:hint="eastAsia"/>
          <w:b/>
          <w:bCs/>
          <w:sz w:val="28"/>
          <w:szCs w:val="28"/>
        </w:rPr>
        <w:t>:</w:t>
      </w:r>
    </w:p>
    <w:p w14:paraId="488D542E" w14:textId="77777777" w:rsidR="00BD0A58" w:rsidRPr="00BD0A58" w:rsidRDefault="00BD0A58" w:rsidP="00BD0A58">
      <w:pPr>
        <w:rPr>
          <w:sz w:val="28"/>
          <w:szCs w:val="28"/>
        </w:rPr>
      </w:pPr>
      <w:r w:rsidRPr="00BD0A58">
        <w:rPr>
          <w:sz w:val="28"/>
          <w:szCs w:val="28"/>
        </w:rPr>
        <w:t>Creswell, J. W. (2005). Educational research: Planning, conducting, and evaluating quantitative and qualitative research (2nd ed.). Pearson Education.</w:t>
      </w:r>
    </w:p>
    <w:p w14:paraId="70E3543B" w14:textId="77777777" w:rsidR="00BD0A58" w:rsidRPr="00BD0A58" w:rsidRDefault="00BD0A58" w:rsidP="00BD0A58">
      <w:pPr>
        <w:ind w:left="360" w:firstLine="360"/>
        <w:rPr>
          <w:sz w:val="28"/>
          <w:szCs w:val="28"/>
        </w:rPr>
      </w:pPr>
    </w:p>
    <w:p w14:paraId="54CC8DE3" w14:textId="5C234E5F" w:rsidR="00BD0A58" w:rsidRPr="002C2CBE" w:rsidRDefault="00BD0A58" w:rsidP="00BD0A58">
      <w:pPr>
        <w:rPr>
          <w:rFonts w:hint="eastAsia"/>
          <w:sz w:val="28"/>
          <w:szCs w:val="28"/>
        </w:rPr>
      </w:pPr>
      <w:r w:rsidRPr="00BD0A58">
        <w:rPr>
          <w:sz w:val="28"/>
          <w:szCs w:val="28"/>
        </w:rPr>
        <w:t xml:space="preserve">Ellis, T. J., &amp; Levy, Y. (2008). Framework of problem-based research: A guide for novice researchers on the development of a research-worthy problem. Informing Science: The International Journal of an Emerging </w:t>
      </w:r>
      <w:proofErr w:type="spellStart"/>
      <w:r w:rsidRPr="00BD0A58">
        <w:rPr>
          <w:sz w:val="28"/>
          <w:szCs w:val="28"/>
        </w:rPr>
        <w:t>Transdiscipline</w:t>
      </w:r>
      <w:proofErr w:type="spellEnd"/>
      <w:r w:rsidRPr="00BD0A58">
        <w:rPr>
          <w:sz w:val="28"/>
          <w:szCs w:val="28"/>
        </w:rPr>
        <w:t>, 11, 17–33.</w:t>
      </w:r>
    </w:p>
    <w:sectPr w:rsidR="00BD0A58" w:rsidRPr="002C2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DD8"/>
    <w:multiLevelType w:val="hybridMultilevel"/>
    <w:tmpl w:val="FABA4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73149"/>
    <w:multiLevelType w:val="hybridMultilevel"/>
    <w:tmpl w:val="B2089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B0F44"/>
    <w:multiLevelType w:val="hybridMultilevel"/>
    <w:tmpl w:val="B29A6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362481">
    <w:abstractNumId w:val="0"/>
  </w:num>
  <w:num w:numId="2" w16cid:durableId="1133330748">
    <w:abstractNumId w:val="2"/>
  </w:num>
  <w:num w:numId="3" w16cid:durableId="139489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DD"/>
    <w:rsid w:val="002C2CBE"/>
    <w:rsid w:val="00342CB8"/>
    <w:rsid w:val="00385B88"/>
    <w:rsid w:val="00715979"/>
    <w:rsid w:val="007B34DD"/>
    <w:rsid w:val="008128F6"/>
    <w:rsid w:val="009162E2"/>
    <w:rsid w:val="00A20232"/>
    <w:rsid w:val="00A4574E"/>
    <w:rsid w:val="00BD0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492B"/>
  <w15:chartTrackingRefBased/>
  <w15:docId w15:val="{FF8C2A93-5B81-45E4-90CB-C4A874C3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4DD"/>
    <w:rPr>
      <w:rFonts w:eastAsiaTheme="majorEastAsia" w:cstheme="majorBidi"/>
      <w:color w:val="272727" w:themeColor="text1" w:themeTint="D8"/>
    </w:rPr>
  </w:style>
  <w:style w:type="paragraph" w:styleId="Title">
    <w:name w:val="Title"/>
    <w:basedOn w:val="Normal"/>
    <w:next w:val="Normal"/>
    <w:link w:val="TitleChar"/>
    <w:uiPriority w:val="10"/>
    <w:qFormat/>
    <w:rsid w:val="007B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4DD"/>
    <w:pPr>
      <w:spacing w:before="160"/>
      <w:jc w:val="center"/>
    </w:pPr>
    <w:rPr>
      <w:i/>
      <w:iCs/>
      <w:color w:val="404040" w:themeColor="text1" w:themeTint="BF"/>
    </w:rPr>
  </w:style>
  <w:style w:type="character" w:customStyle="1" w:styleId="QuoteChar">
    <w:name w:val="Quote Char"/>
    <w:basedOn w:val="DefaultParagraphFont"/>
    <w:link w:val="Quote"/>
    <w:uiPriority w:val="29"/>
    <w:rsid w:val="007B34DD"/>
    <w:rPr>
      <w:i/>
      <w:iCs/>
      <w:color w:val="404040" w:themeColor="text1" w:themeTint="BF"/>
    </w:rPr>
  </w:style>
  <w:style w:type="paragraph" w:styleId="ListParagraph">
    <w:name w:val="List Paragraph"/>
    <w:basedOn w:val="Normal"/>
    <w:uiPriority w:val="34"/>
    <w:qFormat/>
    <w:rsid w:val="007B34DD"/>
    <w:pPr>
      <w:ind w:left="720"/>
      <w:contextualSpacing/>
    </w:pPr>
  </w:style>
  <w:style w:type="character" w:styleId="IntenseEmphasis">
    <w:name w:val="Intense Emphasis"/>
    <w:basedOn w:val="DefaultParagraphFont"/>
    <w:uiPriority w:val="21"/>
    <w:qFormat/>
    <w:rsid w:val="007B34DD"/>
    <w:rPr>
      <w:i/>
      <w:iCs/>
      <w:color w:val="0F4761" w:themeColor="accent1" w:themeShade="BF"/>
    </w:rPr>
  </w:style>
  <w:style w:type="paragraph" w:styleId="IntenseQuote">
    <w:name w:val="Intense Quote"/>
    <w:basedOn w:val="Normal"/>
    <w:next w:val="Normal"/>
    <w:link w:val="IntenseQuoteChar"/>
    <w:uiPriority w:val="30"/>
    <w:qFormat/>
    <w:rsid w:val="007B3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4DD"/>
    <w:rPr>
      <w:i/>
      <w:iCs/>
      <w:color w:val="0F4761" w:themeColor="accent1" w:themeShade="BF"/>
    </w:rPr>
  </w:style>
  <w:style w:type="character" w:styleId="IntenseReference">
    <w:name w:val="Intense Reference"/>
    <w:basedOn w:val="DefaultParagraphFont"/>
    <w:uiPriority w:val="32"/>
    <w:qFormat/>
    <w:rsid w:val="007B3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Jiansheng健晟 Shentu申屠</dc:creator>
  <cp:keywords/>
  <dc:description/>
  <cp:lastModifiedBy>Jiansheng健晟 Shentu申屠</cp:lastModifiedBy>
  <cp:revision>2</cp:revision>
  <dcterms:created xsi:type="dcterms:W3CDTF">2025-11-10T04:46:00Z</dcterms:created>
  <dcterms:modified xsi:type="dcterms:W3CDTF">2025-11-10T05:46:00Z</dcterms:modified>
</cp:coreProperties>
</file>