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jc w:val="center"/>
      </w:pPr>
      <w:r>
        <w:rPr>
          <w:b/>
          <w:bCs/>
          <w:color w:val="1E3A5F"/>
          <w:sz w:val="80"/>
          <w:szCs w:val="80"/>
        </w:rPr>
        <w:t xml:space="preserve">UpstreamAI</w:t>
      </w:r>
    </w:p>
    <w:p>
      <w:pPr>
        <w:spacing w:after="0" w:before="0"/>
        <w:jc w:val="center"/>
      </w:pPr>
      <w:r>
        <w:rPr>
          <w:b/>
          <w:bCs/>
          <w:color w:val="0D9488"/>
          <w:sz w:val="52"/>
          <w:szCs w:val="52"/>
        </w:rPr>
        <w:t xml:space="preserve">Field Development Plan</w:t>
      </w:r>
    </w:p>
    <w:p>
      <w:pPr>
        <w:spacing w:after="480" w:before="160"/>
        <w:jc w:val="center"/>
      </w:pPr>
      <w:r>
        <w:rPr>
          <w:b/>
          <w:bCs/>
          <w:color w:val="374151"/>
          <w:sz w:val="36"/>
          <w:szCs w:val="36"/>
        </w:rPr>
        <w:t xml:space="preserve">Engineering &amp; Financial Formula Reference</w:t>
      </w:r>
    </w:p>
    <w:p>
      <w:pPr>
        <w:spacing w:after="2880" w:before="0"/>
        <w:jc w:val="center"/>
      </w:pPr>
      <w:r>
        <w:rPr>
          <w:color w:val="6B7280"/>
          <w:sz w:val="22"/>
          <w:szCs w:val="22"/>
        </w:rPr>
        <w:t xml:space="preserve">Version 1.0  •  March 2026</w:t>
      </w:r>
    </w:p>
    <w:p>
      <w:pPr>
        <w:pStyle w:val="Heading1"/>
        <w:shd w:fill="1E3A5F" w:color="1E3A5F" w:val="solid"/>
        <w:spacing w:after="180" w:before="360"/>
        <w:ind w:left="288" w:right="288"/>
        <w:rPr>
          <w:b/>
          <w:bCs/>
          <w:color w:val="FFFFFF"/>
          <w:sz w:val="36"/>
          <w:szCs w:val="36"/>
        </w:rPr>
      </w:pPr>
      <w:r>
        <w:t xml:space="preserve">1. Overview</w:t>
      </w:r>
    </w:p>
    <w:p>
      <w:pPr>
        <w:spacing w:after="80" w:before="120"/>
      </w:pPr>
      <w:r>
        <w:rPr>
          <w:color w:val="374151"/>
          <w:sz w:val="20"/>
          <w:szCs w:val="20"/>
        </w:rPr>
        <w:t xml:space="preserve">This document describes every calculation, formula, and algorithm embedded in the UpstreamAI FDP Decode application. The application covers nine ADNOC offshore fields and provides reservoir engineering, financial analysis, uncertainty quantification, and AI-confidence metrics across eleven interactive screens.</w:t>
      </w:r>
    </w:p>
    <w:p>
      <w:pPr>
        <w:spacing w:after="80" w:before="80"/>
      </w:pPr>
    </w:p>
    <w:p>
      <w:pPr>
        <w:pBdr>
          <w:bottom w:color="0D9488" w:sz="4" w:space="4"/>
        </w:pBdr>
        <w:spacing w:after="80" w:before="240"/>
      </w:pPr>
      <w:r>
        <w:rPr>
          <w:b/>
          <w:bCs/>
          <w:color w:val="1E3A5F"/>
          <w:sz w:val="22"/>
          <w:szCs w:val="22"/>
        </w:rPr>
        <w:t xml:space="preserve">Architecture Overview</w:t>
      </w:r>
    </w:p>
    <w:p>
      <w:pPr>
        <w:spacing w:after="60" w:before="60"/>
        <w:ind w:left="576"/>
      </w:pPr>
      <w:r>
        <w:rPr>
          <w:color w:val="374151"/>
          <w:sz w:val="20"/>
          <w:szCs w:val="20"/>
        </w:rPr>
        <w:t xml:space="preserve">• Layer 1 – Executive Dashboard: portfolio-level NPV, capital efficiency, risk metrics</w:t>
      </w:r>
    </w:p>
    <w:p>
      <w:pPr>
        <w:spacing w:after="60" w:before="60"/>
        <w:ind w:left="576"/>
      </w:pPr>
      <w:r>
        <w:rPr>
          <w:color w:val="374151"/>
          <w:sz w:val="20"/>
          <w:szCs w:val="20"/>
        </w:rPr>
        <w:t xml:space="preserve">• Layer 2 – Asset Manager Dashboard: field-level KPIs, FDP Nerve Center</w:t>
      </w:r>
    </w:p>
    <w:p>
      <w:pPr>
        <w:spacing w:after="60" w:before="60"/>
        <w:ind w:left="576"/>
      </w:pPr>
      <w:r>
        <w:rPr>
          <w:color w:val="374151"/>
          <w:sz w:val="20"/>
          <w:szCs w:val="20"/>
        </w:rPr>
        <w:t xml:space="preserve">• Layer 3 – Reservoir Engineer Tools: decline curves, history matching, Monte Carlo</w:t>
      </w:r>
    </w:p>
    <w:p>
      <w:pPr>
        <w:spacing w:after="80" w:before="80"/>
      </w:pPr>
    </w:p>
    <w:p>
      <w:pPr>
        <w:pStyle w:val="Heading1"/>
        <w:shd w:fill="1E3A5F" w:color="1E3A5F" w:val="solid"/>
        <w:spacing w:after="180" w:before="360"/>
        <w:ind w:left="288" w:right="288"/>
        <w:rPr>
          <w:b/>
          <w:bCs/>
          <w:color w:val="FFFFFF"/>
          <w:sz w:val="36"/>
          <w:szCs w:val="36"/>
        </w:rPr>
      </w:pPr>
      <w:r>
        <w:t xml:space="preserve">2. Asset Data Model</w:t>
      </w:r>
    </w:p>
    <w:p>
      <w:pPr>
        <w:spacing w:after="80" w:before="160"/>
      </w:pPr>
      <w:r>
        <w:rPr>
          <w:color w:val="374151"/>
          <w:sz w:val="20"/>
          <w:szCs w:val="20"/>
        </w:rPr>
        <w:t xml:space="preserve">Each field in the AssetContext carries the following parameters that feed all formulas:</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ooip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MMbbl – Original Oil In Place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cumulativeOil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MMbbl – Cumulative oil produced to date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initialPressure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psi – Original reservoir pressure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pressure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psi – Current reservoir pressure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firstOilYear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Calendar year of first production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declineRate (Di)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Annual nominal decline rate (fraction/yr)</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declineExponent (b)</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Arps b-exponent (0 = exponential, 1 = harmonic)</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gor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scf/bbl – Gas-Oil Ratio</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opexPerBbl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$/bbl – All-in operating cost</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remainingCapexMM</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$MM – Remaining capital expenditure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fieldLifeYears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Remaining production life (years)</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mobilityRatio</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Water/oil mobility ratio (dimensionless)</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dataCompleteness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Weighted data completeness score (0–100%)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historyMatchR2</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History match coefficient of determination R² (0–1)</w:t>
            </w:r>
          </w:p>
        </w:tc>
      </w:tr>
    </w:tbl>
    <w:p>
      <w:pPr>
        <w:spacing w:after="80" w:before="80"/>
      </w:pPr>
    </w:p>
    <w:p>
      <w:pPr>
        <w:pStyle w:val="Heading1"/>
        <w:shd w:fill="1E3A5F" w:color="1E3A5F" w:val="solid"/>
        <w:spacing w:after="180" w:before="360"/>
        <w:ind w:left="288" w:right="288"/>
        <w:rPr>
          <w:b/>
          <w:bCs/>
          <w:color w:val="FFFFFF"/>
          <w:sz w:val="36"/>
          <w:szCs w:val="36"/>
        </w:rPr>
      </w:pPr>
      <w:r>
        <w:t xml:space="preserve">3. Reservoir Engineering Calculations</w:t>
      </w:r>
    </w:p>
    <w:p>
      <w:pPr>
        <w:shd w:fill="0D9488" w:color="0D9488" w:val="solid"/>
        <w:spacing w:after="120" w:before="300"/>
        <w:ind w:left="215"/>
      </w:pPr>
      <w:r>
        <w:rPr>
          <w:b/>
          <w:bCs/>
          <w:color w:val="FFFFFF"/>
          <w:sz w:val="28"/>
          <w:szCs w:val="28"/>
        </w:rPr>
        <w:t xml:space="preserve">3.1  Recovery Factor (RF)</w:t>
      </w:r>
    </w:p>
    <w:p>
      <w:pPr>
        <w:spacing w:after="80" w:before="160"/>
      </w:pPr>
      <w:r>
        <w:rPr>
          <w:color w:val="374151"/>
          <w:sz w:val="20"/>
          <w:szCs w:val="20"/>
        </w:rPr>
        <w:t xml:space="preserve">Measures what fraction of the Original Oil In Place has been recovered to date.</w:t>
      </w:r>
    </w:p>
    <w:p>
      <w:pPr>
        <w:spacing w:after="80" w:before="80"/>
      </w:pPr>
    </w:p>
    <w:p>
      <w:pPr>
        <w:spacing w:after="60" w:before="80"/>
      </w:pPr>
      <w:r>
        <w:rPr>
          <w:b/>
          <w:bCs/>
          <w:color w:val="374151"/>
          <w:sz w:val="20"/>
          <w:szCs w:val="20"/>
        </w:rPr>
        <w:t xml:space="preserve">Formula: </w:t>
      </w:r>
      <w:r>
        <w:rPr>
          <w:color w:val="374151"/>
          <w:sz w:val="20"/>
          <w:szCs w:val="20"/>
        </w:rPr>
        <w:t xml:space="preserve"/>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RF (%) = (Np / N) × 100</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RF</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Recovery Factor (%)</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Cumulative oil produced to date (MMbbl)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Original Oil In Place – OOIP (MMbbl)</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Displayed on Dashboard, FDP Summary, and DeepDive Analytics screens</w:t>
      </w:r>
    </w:p>
    <w:p>
      <w:pPr>
        <w:spacing w:after="60" w:before="80"/>
      </w:pPr>
      <w:r>
        <w:rPr>
          <w:b/>
          <w:bCs/>
          <w:color w:val="374151"/>
          <w:sz w:val="20"/>
          <w:szCs w:val="20"/>
        </w:rPr>
        <w:t xml:space="preserve">Implementation: </w:t>
      </w:r>
      <w:r>
        <w:rPr>
          <w:color w:val="374151"/>
          <w:sz w:val="20"/>
          <w:szCs w:val="20"/>
        </w:rPr>
        <w:t xml:space="preserve">calculateRecoveryFactor(cumulativeOil, ooip) in calculations.ts</w:t>
      </w:r>
    </w:p>
    <w:p>
      <w:pPr>
        <w:spacing w:after="80" w:before="80"/>
      </w:pPr>
    </w:p>
    <w:p>
      <w:pPr>
        <w:shd w:fill="0D9488" w:color="0D9488" w:val="solid"/>
        <w:spacing w:after="120" w:before="300"/>
        <w:ind w:left="215"/>
      </w:pPr>
      <w:r>
        <w:rPr>
          <w:b/>
          <w:bCs/>
          <w:color w:val="FFFFFF"/>
          <w:sz w:val="28"/>
          <w:szCs w:val="28"/>
        </w:rPr>
        <w:t xml:space="preserve">3.2  Water Cut</w:t>
      </w:r>
    </w:p>
    <w:p>
      <w:pPr>
        <w:spacing w:after="80" w:before="160"/>
      </w:pPr>
      <w:r>
        <w:rPr>
          <w:color w:val="374151"/>
          <w:sz w:val="20"/>
          <w:szCs w:val="20"/>
        </w:rPr>
        <w:t xml:space="preserve">Fraction of produced liquid that is water, expressed as a percentage.</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WC (%) = Qw / (Qo + Qw) × 100</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WC</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Water Cut (%)</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Qo</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Oil production rate (bbl/day)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Qw</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Water production rate (bbl/day)</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Dashboard KPI card and trend charts</w:t>
      </w:r>
    </w:p>
    <w:p>
      <w:pPr>
        <w:spacing w:after="60" w:before="80"/>
      </w:pPr>
      <w:r>
        <w:rPr>
          <w:b/>
          <w:bCs/>
          <w:color w:val="374151"/>
          <w:sz w:val="20"/>
          <w:szCs w:val="20"/>
        </w:rPr>
        <w:t xml:space="preserve">Implementation: </w:t>
      </w:r>
      <w:r>
        <w:rPr>
          <w:color w:val="374151"/>
          <w:sz w:val="20"/>
          <w:szCs w:val="20"/>
        </w:rPr>
        <w:t xml:space="preserve">calculateWaterCut(waterBpd, oilBpd)</w:t>
      </w:r>
    </w:p>
    <w:p>
      <w:pPr>
        <w:spacing w:after="80" w:before="80"/>
      </w:pPr>
    </w:p>
    <w:p>
      <w:pPr>
        <w:shd w:fill="0D9488" w:color="0D9488" w:val="solid"/>
        <w:spacing w:after="120" w:before="300"/>
        <w:ind w:left="215"/>
      </w:pPr>
      <w:r>
        <w:rPr>
          <w:b/>
          <w:bCs/>
          <w:color w:val="FFFFFF"/>
          <w:sz w:val="28"/>
          <w:szCs w:val="28"/>
        </w:rPr>
        <w:t xml:space="preserve">3.3  Arps Hyperbolic Decline Curve  (SPE-945)</w:t>
      </w:r>
    </w:p>
    <w:p>
      <w:pPr>
        <w:spacing w:after="80" w:before="160"/>
      </w:pPr>
      <w:r>
        <w:rPr>
          <w:color w:val="374151"/>
          <w:sz w:val="20"/>
          <w:szCs w:val="20"/>
        </w:rPr>
        <w:t xml:space="preserve">Used to forecast future production rates. The hyperbolic form covers exponential (b = 0) through harmonic (b = 1) decline behaviour.</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q(t) = qi / (1 + b × Di × t)^(1/b)</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q(t)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Production rate at time t (bbl/day)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qi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Initial production rate (bbl/day)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Nominal annual decline rate (fraction/yr)</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b</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Arps exponent (0 ≤ b ≤ 1)</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Time elapsed since start of decline (years)</w:t>
            </w:r>
          </w:p>
        </w:tc>
      </w:tr>
    </w:tbl>
    <w:p>
      <w:pPr>
        <w:spacing w:after="80" w:before="80"/>
      </w:pPr>
    </w:p>
    <w:p>
      <w:pPr>
        <w:spacing w:after="60" w:before="80"/>
      </w:pPr>
      <w:r>
        <w:rPr>
          <w:b/>
          <w:bCs/>
          <w:color w:val="374151"/>
          <w:sz w:val="20"/>
          <w:szCs w:val="20"/>
        </w:rPr>
        <w:t xml:space="preserve">Special case  b = 0: </w:t>
      </w:r>
      <w:r>
        <w:rPr>
          <w:color w:val="374151"/>
          <w:sz w:val="20"/>
          <w:szCs w:val="20"/>
        </w:rPr>
        <w:t xml:space="preserve">q(t) = qi × exp(−Di × t)   [exponential decline]</w:t>
      </w:r>
    </w:p>
    <w:p>
      <w:pPr>
        <w:spacing w:after="80" w:before="80"/>
      </w:pPr>
    </w:p>
    <w:p>
      <w:pPr>
        <w:spacing w:after="80" w:before="160"/>
      </w:pPr>
      <w:r>
        <w:rPr>
          <w:color w:val="374151"/>
          <w:sz w:val="20"/>
          <w:szCs w:val="20"/>
        </w:rPr>
        <w:t xml:space="preserve">Cumulative production under hyperbolic decline (b ≠ 0) for an annual forecast step is integrated analytically:</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Np(t1→t2) = [qi^b / (Di × (1−b))] × [q(t1)^(1−b) − q(t2)^(1−b)]</w:t>
      </w:r>
    </w:p>
    <w:p>
      <w:pPr>
        <w:spacing w:after="80" w:before="80"/>
      </w:pPr>
    </w:p>
    <w:p>
      <w:pPr>
        <w:spacing w:after="60" w:before="80"/>
      </w:pPr>
      <w:r>
        <w:rPr>
          <w:b/>
          <w:bCs/>
          <w:color w:val="374151"/>
          <w:sz w:val="20"/>
          <w:szCs w:val="20"/>
        </w:rPr>
        <w:t xml:space="preserve">Application: </w:t>
      </w:r>
      <w:r>
        <w:rPr>
          <w:color w:val="374151"/>
          <w:sz w:val="20"/>
          <w:szCs w:val="20"/>
        </w:rPr>
        <w:t xml:space="preserve">HistoryMatching chart, DeepDive P10/P50/P90 forecast, FDP production profile</w:t>
      </w:r>
    </w:p>
    <w:p>
      <w:pPr>
        <w:spacing w:after="60" w:before="80"/>
      </w:pPr>
      <w:r>
        <w:rPr>
          <w:b/>
          <w:bCs/>
          <w:color w:val="374151"/>
          <w:sz w:val="20"/>
          <w:szCs w:val="20"/>
        </w:rPr>
        <w:t xml:space="preserve">Implementation: </w:t>
      </w:r>
      <w:r>
        <w:rPr>
          <w:color w:val="374151"/>
          <w:sz w:val="20"/>
          <w:szCs w:val="20"/>
        </w:rPr>
        <w:t xml:space="preserve">hyperbolicDecline(qi, Di, b, t) · generateAnnualForecast(...)</w:t>
      </w:r>
    </w:p>
    <w:p>
      <w:pPr>
        <w:spacing w:after="80" w:before="80"/>
      </w:pPr>
    </w:p>
    <w:p>
      <w:pPr>
        <w:shd w:fill="0D9488" w:color="0D9488" w:val="solid"/>
        <w:spacing w:after="120" w:before="300"/>
        <w:ind w:left="215"/>
      </w:pPr>
      <w:r>
        <w:rPr>
          <w:b/>
          <w:bCs/>
          <w:color w:val="FFFFFF"/>
          <w:sz w:val="28"/>
          <w:szCs w:val="28"/>
        </w:rPr>
        <w:t xml:space="preserve">3.4  Reservoir Pressure – Material Balance Approximation</w:t>
      </w:r>
    </w:p>
    <w:p>
      <w:pPr>
        <w:spacing w:after="80" w:before="160"/>
      </w:pPr>
      <w:r>
        <w:rPr>
          <w:color w:val="374151"/>
          <w:sz w:val="20"/>
          <w:szCs w:val="20"/>
        </w:rPr>
        <w:t xml:space="preserve">Simplified liquid-expansion material balance to estimate current average reservoir pressure from cumulative production.</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P_current ≈ P_initial × (1 − Np / (N × ct × P_initial))</w:t>
      </w:r>
    </w:p>
    <w:p>
      <w:pPr>
        <w:spacing w:after="80" w:before="160"/>
      </w:pPr>
      <w:r>
        <w:rPr>
          <w:color w:val="374151"/>
          <w:sz w:val="20"/>
          <w:szCs w:val="20"/>
        </w:rPr>
        <w:t xml:space="preserve">Or equivalently using a linear pressure depletion approximation: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P_current = P_initial × (1 − Np / N × depletion_factor)</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P_current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Estimated current reservoir pressure (psi)</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P_initial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Original reservoir pressure (psi)</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Cumulative oil produced (MMbbl)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OOIP (MMbbl)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Total compressibility (~1.5 × 10⁻⁵ psi⁻¹ default)</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depletion_factor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Calibration scalar (default 0.5)</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Dashboard current pressure KPI</w:t>
      </w:r>
    </w:p>
    <w:p>
      <w:pPr>
        <w:spacing w:after="60" w:before="80"/>
      </w:pPr>
      <w:r>
        <w:rPr>
          <w:b/>
          <w:bCs/>
          <w:color w:val="374151"/>
          <w:sz w:val="20"/>
          <w:szCs w:val="20"/>
        </w:rPr>
        <w:t xml:space="preserve">Implementation: </w:t>
      </w:r>
      <w:r>
        <w:rPr>
          <w:color w:val="374151"/>
          <w:sz w:val="20"/>
          <w:szCs w:val="20"/>
        </w:rPr>
        <w:t xml:space="preserve">estimateReservoirPressure(initialPressure, ooip, cumulativeOil, oilFVF?, ct?)</w:t>
      </w:r>
    </w:p>
    <w:p>
      <w:pPr>
        <w:spacing w:after="80" w:before="80"/>
      </w:pPr>
    </w:p>
    <w:p>
      <w:pPr>
        <w:shd w:fill="0D9488" w:color="0D9488" w:val="solid"/>
        <w:spacing w:after="120" w:before="300"/>
        <w:ind w:left="215"/>
      </w:pPr>
      <w:r>
        <w:rPr>
          <w:b/>
          <w:bCs/>
          <w:color w:val="FFFFFF"/>
          <w:sz w:val="28"/>
          <w:szCs w:val="28"/>
        </w:rPr>
        <w:t xml:space="preserve">3.5  Sweep Efficiency</w:t>
      </w:r>
    </w:p>
    <w:p>
      <w:pPr>
        <w:spacing w:after="80" w:before="160"/>
      </w:pPr>
      <w:r>
        <w:rPr>
          <w:color w:val="374151"/>
          <w:sz w:val="20"/>
          <w:szCs w:val="20"/>
        </w:rPr>
        <w:t xml:space="preserve">Combines Craig's areal sweep efficiency with Dykstra-Parsons vertical heterogeneity to estimate displacement efficiency.</w:t>
      </w:r>
    </w:p>
    <w:p>
      <w:pPr>
        <w:spacing w:after="80" w:before="80"/>
      </w:pPr>
    </w:p>
    <w:p>
      <w:pPr>
        <w:pBdr>
          <w:bottom w:color="0D9488" w:sz="4" w:space="4"/>
        </w:pBdr>
        <w:spacing w:after="80" w:before="240"/>
      </w:pPr>
      <w:r>
        <w:rPr>
          <w:b/>
          <w:bCs/>
          <w:color w:val="1E3A5F"/>
          <w:sz w:val="22"/>
          <w:szCs w:val="22"/>
        </w:rPr>
        <w:t xml:space="preserve">Areal Sweep (Craig correlation)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Ea = 0.54602789 + 0.03170817/M − 0.00509693×M + 0.11289012×ln(M)</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Ea</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Areal sweep efficiency (fraction)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M</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Mobility ratio = (krw/μw) / (kro/μo)</w:t>
            </w:r>
          </w:p>
        </w:tc>
      </w:tr>
    </w:tbl>
    <w:p>
      <w:pPr>
        <w:spacing w:after="80" w:before="80"/>
      </w:pPr>
    </w:p>
    <w:p>
      <w:pPr>
        <w:pBdr>
          <w:bottom w:color="0D9488" w:sz="4" w:space="4"/>
        </w:pBdr>
        <w:spacing w:after="80" w:before="240"/>
      </w:pPr>
      <w:r>
        <w:rPr>
          <w:b/>
          <w:bCs/>
          <w:color w:val="1E3A5F"/>
          <w:sz w:val="22"/>
          <w:szCs w:val="22"/>
        </w:rPr>
        <w:t xml:space="preserve">Vertical Sweep (Dykstra-Parsons)</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Ev = 1 − V_DP</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Ev</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Vertical sweep efficiency (fraction)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V_DP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Dykstra-Parsons coefficient of variation (0–1, default 0.72)</w:t>
            </w:r>
          </w:p>
        </w:tc>
      </w:tr>
    </w:tbl>
    <w:p>
      <w:pPr>
        <w:spacing w:after="80" w:before="80"/>
      </w:pPr>
    </w:p>
    <w:p>
      <w:pPr>
        <w:pBdr>
          <w:bottom w:color="0D9488" w:sz="4" w:space="4"/>
        </w:pBdr>
        <w:spacing w:after="80" w:before="240"/>
      </w:pPr>
      <w:r>
        <w:rPr>
          <w:b/>
          <w:bCs/>
          <w:color w:val="1E3A5F"/>
          <w:sz w:val="22"/>
          <w:szCs w:val="22"/>
        </w:rPr>
        <w:t xml:space="preserve">Overall Displacement Efficiency</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E_total (%) = Ea × Ev × 100</w:t>
      </w:r>
    </w:p>
    <w:p>
      <w:pPr>
        <w:spacing w:after="80" w:before="80"/>
      </w:pPr>
    </w:p>
    <w:p>
      <w:pPr>
        <w:spacing w:after="60" w:before="80"/>
      </w:pPr>
      <w:r>
        <w:rPr>
          <w:b/>
          <w:bCs/>
          <w:color w:val="374151"/>
          <w:sz w:val="20"/>
          <w:szCs w:val="20"/>
        </w:rPr>
        <w:t xml:space="preserve">Application: </w:t>
      </w:r>
      <w:r>
        <w:rPr>
          <w:color w:val="374151"/>
          <w:sz w:val="20"/>
          <w:szCs w:val="20"/>
        </w:rPr>
        <w:t xml:space="preserve">Dashboard Sweep Efficiency KPI</w:t>
      </w:r>
    </w:p>
    <w:p>
      <w:pPr>
        <w:spacing w:after="60" w:before="80"/>
      </w:pPr>
      <w:r>
        <w:rPr>
          <w:b/>
          <w:bCs/>
          <w:color w:val="374151"/>
          <w:sz w:val="20"/>
          <w:szCs w:val="20"/>
        </w:rPr>
        <w:t xml:space="preserve">Implementation: </w:t>
      </w:r>
      <w:r>
        <w:rPr>
          <w:color w:val="374151"/>
          <w:sz w:val="20"/>
          <w:szCs w:val="20"/>
        </w:rPr>
        <w:t xml:space="preserve">calculateSweepEfficiency(mobilityRatio, dykstraParsonV?)</w:t>
      </w:r>
    </w:p>
    <w:p>
      <w:pPr>
        <w:spacing w:after="80" w:before="80"/>
      </w:pPr>
    </w:p>
    <w:p>
      <w:pPr>
        <w:pStyle w:val="Heading1"/>
        <w:shd w:fill="1E3A5F" w:color="1E3A5F" w:val="solid"/>
        <w:spacing w:after="180" w:before="360"/>
        <w:ind w:left="288" w:right="288"/>
        <w:rPr>
          <w:b/>
          <w:bCs/>
          <w:color w:val="FFFFFF"/>
          <w:sz w:val="36"/>
          <w:szCs w:val="36"/>
        </w:rPr>
      </w:pPr>
      <w:r>
        <w:t xml:space="preserve">4. Financial Analysis Calculations</w:t>
      </w:r>
    </w:p>
    <w:p>
      <w:pPr>
        <w:shd w:fill="0D9488" w:color="0D9488" w:val="solid"/>
        <w:spacing w:after="120" w:before="300"/>
        <w:ind w:left="215"/>
      </w:pPr>
      <w:r>
        <w:rPr>
          <w:b/>
          <w:bCs/>
          <w:color w:val="FFFFFF"/>
          <w:sz w:val="28"/>
          <w:szCs w:val="28"/>
        </w:rPr>
        <w:t xml:space="preserve">4.1  Net Present Value (NPV)</w:t>
      </w:r>
    </w:p>
    <w:p>
      <w:pPr>
        <w:spacing w:after="80" w:before="160"/>
      </w:pPr>
      <w:r>
        <w:rPr>
          <w:color w:val="374151"/>
          <w:sz w:val="20"/>
          <w:szCs w:val="20"/>
        </w:rPr>
        <w:t xml:space="preserve">Full discounted cash flow using an annuity approximation when a detailed year-by-year forecast is not computed. Incorporates royalty, income tax, and remaining CAPEX.</w:t>
      </w:r>
    </w:p>
    <w:p>
      <w:pPr>
        <w:spacing w:after="80" w:before="80"/>
      </w:pPr>
    </w:p>
    <w:p>
      <w:pPr>
        <w:pBdr>
          <w:bottom w:color="0D9488" w:sz="4" w:space="4"/>
        </w:pBdr>
        <w:spacing w:after="80" w:before="240"/>
      </w:pPr>
      <w:r>
        <w:rPr>
          <w:b/>
          <w:bCs/>
          <w:color w:val="1E3A5F"/>
          <w:sz w:val="22"/>
          <w:szCs w:val="22"/>
        </w:rPr>
        <w:t xml:space="preserve">Revenue and Cost Stream</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Revenue/yr   = q × OilPrice × 365</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Royalty/yr   = Revenue × royaltyRate         (default 5%)</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OPEX/yr      = q × opexPerBbl × 365</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EBITDA/yr    = Revenue − Royalty − OPEX</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Tax/yr       = EBITDA × taxRate              (default 55%)</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NetCF/yr     = EBITDA − Tax</w:t>
      </w:r>
    </w:p>
    <w:p>
      <w:pPr>
        <w:spacing w:after="80" w:before="80"/>
      </w:pPr>
    </w:p>
    <w:p>
      <w:pPr>
        <w:pBdr>
          <w:bottom w:color="0D9488" w:sz="4" w:space="4"/>
        </w:pBdr>
        <w:spacing w:after="80" w:before="240"/>
      </w:pPr>
      <w:r>
        <w:rPr>
          <w:b/>
          <w:bCs/>
          <w:color w:val="1E3A5F"/>
          <w:sz w:val="22"/>
          <w:szCs w:val="22"/>
        </w:rPr>
        <w:t xml:space="preserve">Present Value Annuity (mid-year convention)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PV(annuity) = NetCF × [1 − (1+r)^(−n)] / r × (1+r)^0.5</w:t>
      </w:r>
    </w:p>
    <w:p>
      <w:pPr>
        <w:spacing w:after="80" w:before="80"/>
      </w:pPr>
    </w:p>
    <w:p>
      <w:pPr>
        <w:pBdr>
          <w:bottom w:color="0D9488" w:sz="4" w:space="4"/>
        </w:pBdr>
        <w:spacing w:after="80" w:before="240"/>
      </w:pPr>
      <w:r>
        <w:rPr>
          <w:b/>
          <w:bCs/>
          <w:color w:val="1E3A5F"/>
          <w:sz w:val="22"/>
          <w:szCs w:val="22"/>
        </w:rPr>
        <w:t xml:space="preserve">Final NPV</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NPV = PV(annuity) − CapEx_total</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q</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Current oil production rate (bbl/day)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OilPrice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Flat oil price assumption ($/bbl, default $80)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royaltyRate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Government royalty fraction (default 0.05)</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opexPerBbl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All-in operating cost ($/bbl)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taxRate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Effective income tax rate (default 0.55 for PSC)</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Discount rate (default 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Field life remaining (years)</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CapEx_total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Remaining capital expenditure ($B)</w:t>
            </w:r>
          </w:p>
        </w:tc>
      </w:tr>
    </w:tbl>
    <w:p>
      <w:pPr>
        <w:spacing w:after="80" w:before="80"/>
      </w:pPr>
    </w:p>
    <w:p>
      <w:pPr>
        <w:spacing w:after="60" w:before="80"/>
      </w:pPr>
      <w:r>
        <w:rPr>
          <w:b/>
          <w:bCs/>
          <w:color w:val="374151"/>
          <w:sz w:val="20"/>
          <w:szCs w:val="20"/>
        </w:rPr>
        <w:t xml:space="preserve">Output units: </w:t>
      </w:r>
      <w:r>
        <w:rPr>
          <w:color w:val="374151"/>
          <w:sz w:val="20"/>
          <w:szCs w:val="20"/>
        </w:rPr>
        <w:t xml:space="preserve">Billions USD ($B) for display; $MM internally</w:t>
      </w:r>
    </w:p>
    <w:p>
      <w:pPr>
        <w:spacing w:after="60" w:before="80"/>
      </w:pPr>
      <w:r>
        <w:rPr>
          <w:b/>
          <w:bCs/>
          <w:color w:val="374151"/>
          <w:sz w:val="20"/>
          <w:szCs w:val="20"/>
        </w:rPr>
        <w:t xml:space="preserve">Application: </w:t>
      </w:r>
      <w:r>
        <w:rPr>
          <w:color w:val="374151"/>
          <w:sz w:val="20"/>
          <w:szCs w:val="20"/>
        </w:rPr>
        <w:t xml:space="preserve">Dashboard, FDP Summary, ExecutiveDashboard</w:t>
      </w:r>
    </w:p>
    <w:p>
      <w:pPr>
        <w:spacing w:after="60" w:before="80"/>
      </w:pPr>
      <w:r>
        <w:rPr>
          <w:b/>
          <w:bCs/>
          <w:color w:val="374151"/>
          <w:sz w:val="20"/>
          <w:szCs w:val="20"/>
        </w:rPr>
        <w:t xml:space="preserve">Implementation: </w:t>
      </w:r>
      <w:r>
        <w:rPr>
          <w:color w:val="374151"/>
          <w:sz w:val="20"/>
          <w:szCs w:val="20"/>
        </w:rPr>
        <w:t xml:space="preserve">calculateNPVSimplified(...)  ·  calculateNPV(forecast, ...)</w:t>
      </w:r>
    </w:p>
    <w:p>
      <w:pPr>
        <w:spacing w:after="80" w:before="80"/>
      </w:pPr>
    </w:p>
    <w:p>
      <w:pPr>
        <w:shd w:fill="0D9488" w:color="0D9488" w:val="solid"/>
        <w:spacing w:after="120" w:before="300"/>
        <w:ind w:left="215"/>
      </w:pPr>
      <w:r>
        <w:rPr>
          <w:b/>
          <w:bCs/>
          <w:color w:val="FFFFFF"/>
          <w:sz w:val="28"/>
          <w:szCs w:val="28"/>
        </w:rPr>
        <w:t xml:space="preserve">4.2  Internal Rate of Return (IRR)</w:t>
      </w:r>
    </w:p>
    <w:p>
      <w:pPr>
        <w:spacing w:after="80" w:before="160"/>
      </w:pPr>
      <w:r>
        <w:rPr>
          <w:color w:val="374151"/>
          <w:sz w:val="20"/>
          <w:szCs w:val="20"/>
        </w:rPr>
        <w:t xml:space="preserve">Newton-Raphson root-finding on the NPV=0 equation. Cash-flow array starts with −CapEx in Year 0 followed by annual net cash flows.</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NPV(r) = Σ [CF_t / (1+r)^t] = 0   →   solve for r</w:t>
      </w:r>
    </w:p>
    <w:p>
      <w:pPr>
        <w:spacing w:after="80" w:before="80"/>
      </w:pPr>
    </w:p>
    <w:p>
      <w:pPr>
        <w:pBdr>
          <w:bottom w:color="0D9488" w:sz="4" w:space="4"/>
        </w:pBdr>
        <w:spacing w:after="80" w:before="240"/>
      </w:pPr>
      <w:r>
        <w:rPr>
          <w:b/>
          <w:bCs/>
          <w:color w:val="1E3A5F"/>
          <w:sz w:val="22"/>
          <w:szCs w:val="22"/>
        </w:rPr>
        <w:t xml:space="preserve">Newton-Raphson iteration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r_{n+1} = r_n − NPV(r_n) / NPV'(r_n)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NPV'(r) = −Σ [t × CF_t / (1+r)^(t+1)]</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CF_0</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−CapEx (initial investment, negative)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CF_t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Net cash flow in year t (positive)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r_0</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Initial guess (default 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tol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Convergence tolerance (10⁻⁶)</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maxIter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Maximum iterations (1000)</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FDP Summary screen IRR metric</w:t>
      </w:r>
    </w:p>
    <w:p>
      <w:pPr>
        <w:spacing w:after="60" w:before="80"/>
      </w:pPr>
      <w:r>
        <w:rPr>
          <w:b/>
          <w:bCs/>
          <w:color w:val="374151"/>
          <w:sz w:val="20"/>
          <w:szCs w:val="20"/>
        </w:rPr>
        <w:t xml:space="preserve">Implementation: </w:t>
      </w:r>
      <w:r>
        <w:rPr>
          <w:color w:val="374151"/>
          <w:sz w:val="20"/>
          <w:szCs w:val="20"/>
        </w:rPr>
        <w:t xml:space="preserve">calculateIRR(cashFlows, guess?)</w:t>
      </w:r>
    </w:p>
    <w:p>
      <w:pPr>
        <w:spacing w:after="80" w:before="80"/>
      </w:pPr>
    </w:p>
    <w:p>
      <w:pPr>
        <w:shd w:fill="0D9488" w:color="0D9488" w:val="solid"/>
        <w:spacing w:after="120" w:before="300"/>
        <w:ind w:left="215"/>
      </w:pPr>
      <w:r>
        <w:rPr>
          <w:b/>
          <w:bCs/>
          <w:color w:val="FFFFFF"/>
          <w:sz w:val="28"/>
          <w:szCs w:val="28"/>
        </w:rPr>
        <w:t xml:space="preserve">4.3  Value Investment Ratio (VIR) / Capital Efficiency</w:t>
      </w:r>
    </w:p>
    <w:p>
      <w:pPr>
        <w:spacing w:after="80" w:before="160"/>
      </w:pPr>
      <w:r>
        <w:rPr>
          <w:color w:val="374151"/>
          <w:sz w:val="20"/>
          <w:szCs w:val="20"/>
        </w:rPr>
        <w:t xml:space="preserve">Measures NPV generated per dollar of capital invested.</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VIR = NPV / PV(CapEx)</w:t>
      </w:r>
    </w:p>
    <w:p>
      <w:pPr>
        <w:spacing w:after="80" w:before="80"/>
      </w:pPr>
    </w:p>
    <w:p>
      <w:pPr>
        <w:spacing w:after="80" w:before="160"/>
      </w:pPr>
      <w:r>
        <w:rPr>
          <w:color w:val="374151"/>
          <w:sz w:val="20"/>
          <w:szCs w:val="20"/>
        </w:rPr>
        <w:t xml:space="preserve">PV(CapEx) discounts the remaining capex to present value: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PV(CapEx) = CapEx_MM / (1 + r)^(n/2)</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NPV</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Net Present Value ($B)</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PV(CapEx)</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Present value of remaining capital expenditure ($B)</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Discount rate (10%)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Field life remaining (years); n/2 uses midpoint approximation</w:t>
            </w:r>
          </w:p>
        </w:tc>
      </w:tr>
    </w:tbl>
    <w:p>
      <w:pPr>
        <w:spacing w:after="80" w:before="80"/>
      </w:pPr>
    </w:p>
    <w:p>
      <w:pPr>
        <w:spacing w:after="60" w:before="80"/>
      </w:pPr>
      <w:r>
        <w:rPr>
          <w:b/>
          <w:bCs/>
          <w:color w:val="374151"/>
          <w:sz w:val="20"/>
          <w:szCs w:val="20"/>
        </w:rPr>
        <w:t xml:space="preserve">Interpretation: </w:t>
      </w:r>
      <w:r>
        <w:rPr>
          <w:color w:val="374151"/>
          <w:sz w:val="20"/>
          <w:szCs w:val="20"/>
        </w:rPr>
        <w:t xml:space="preserve">&gt; 1.0x means investment creates more than $1 of NPV per $1 invested</w:t>
      </w:r>
    </w:p>
    <w:p>
      <w:pPr>
        <w:spacing w:after="60" w:before="80"/>
      </w:pPr>
      <w:r>
        <w:rPr>
          <w:b/>
          <w:bCs/>
          <w:color w:val="374151"/>
          <w:sz w:val="20"/>
          <w:szCs w:val="20"/>
        </w:rPr>
        <w:t xml:space="preserve">Application: </w:t>
      </w:r>
      <w:r>
        <w:rPr>
          <w:color w:val="374151"/>
          <w:sz w:val="20"/>
          <w:szCs w:val="20"/>
        </w:rPr>
        <w:t xml:space="preserve">Dashboard KPI, ExecutiveDashboard portfolio view</w:t>
      </w:r>
    </w:p>
    <w:p>
      <w:pPr>
        <w:spacing w:after="60" w:before="80"/>
      </w:pPr>
      <w:r>
        <w:rPr>
          <w:b/>
          <w:bCs/>
          <w:color w:val="374151"/>
          <w:sz w:val="20"/>
          <w:szCs w:val="20"/>
        </w:rPr>
        <w:t xml:space="preserve">Implementation: </w:t>
      </w:r>
      <w:r>
        <w:rPr>
          <w:color w:val="374151"/>
          <w:sz w:val="20"/>
          <w:szCs w:val="20"/>
        </w:rPr>
        <w:t xml:space="preserve">calculateCapitalEfficiency(npvB, pvCapexB)</w:t>
      </w:r>
    </w:p>
    <w:p>
      <w:pPr>
        <w:spacing w:after="80" w:before="80"/>
      </w:pPr>
    </w:p>
    <w:p>
      <w:pPr>
        <w:shd w:fill="0D9488" w:color="0D9488" w:val="solid"/>
        <w:spacing w:after="120" w:before="300"/>
        <w:ind w:left="215"/>
      </w:pPr>
      <w:r>
        <w:rPr>
          <w:b/>
          <w:bCs/>
          <w:color w:val="FFFFFF"/>
          <w:sz w:val="28"/>
          <w:szCs w:val="28"/>
        </w:rPr>
        <w:t xml:space="preserve">4.4  Risk-Adjusted Return (RAR)</w:t>
      </w:r>
    </w:p>
    <w:p>
      <w:pPr>
        <w:spacing w:after="80" w:before="160"/>
      </w:pPr>
      <w:r>
        <w:rPr>
          <w:color w:val="374151"/>
          <w:sz w:val="20"/>
          <w:szCs w:val="20"/>
        </w:rPr>
        <w:t xml:space="preserve">Portfolio-level ratio of P50 NPV to total capital deployed.</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RAR = P50_NPV_MM / TotalCapEx_MM</w:t>
      </w:r>
    </w:p>
    <w:p>
      <w:pPr>
        <w:spacing w:after="80" w:before="80"/>
      </w:pPr>
    </w:p>
    <w:p>
      <w:pPr>
        <w:spacing w:after="60" w:before="80"/>
      </w:pPr>
      <w:r>
        <w:rPr>
          <w:b/>
          <w:bCs/>
          <w:color w:val="374151"/>
          <w:sz w:val="20"/>
          <w:szCs w:val="20"/>
        </w:rPr>
        <w:t xml:space="preserve">Application: </w:t>
      </w:r>
      <w:r>
        <w:rPr>
          <w:color w:val="374151"/>
          <w:sz w:val="20"/>
          <w:szCs w:val="20"/>
        </w:rPr>
        <w:t xml:space="preserve">Executive Dashboard portfolio risk metrics</w:t>
      </w:r>
    </w:p>
    <w:p>
      <w:pPr>
        <w:spacing w:after="60" w:before="80"/>
      </w:pPr>
      <w:r>
        <w:rPr>
          <w:b/>
          <w:bCs/>
          <w:color w:val="374151"/>
          <w:sz w:val="20"/>
          <w:szCs w:val="20"/>
        </w:rPr>
        <w:t xml:space="preserve">Implementation: </w:t>
      </w:r>
      <w:r>
        <w:rPr>
          <w:color w:val="374151"/>
          <w:sz w:val="20"/>
          <w:szCs w:val="20"/>
        </w:rPr>
        <w:t xml:space="preserve">calculateRiskAdjustedReturn(p50NpvMM, totalCapexMM)</w:t>
      </w:r>
    </w:p>
    <w:p>
      <w:pPr>
        <w:spacing w:after="80" w:before="80"/>
      </w:pPr>
    </w:p>
    <w:p>
      <w:pPr>
        <w:pStyle w:val="Heading1"/>
        <w:shd w:fill="1E3A5F" w:color="1E3A5F" w:val="solid"/>
        <w:spacing w:after="180" w:before="360"/>
        <w:ind w:left="288" w:right="288"/>
        <w:rPr>
          <w:b/>
          <w:bCs/>
          <w:color w:val="FFFFFF"/>
          <w:sz w:val="36"/>
          <w:szCs w:val="36"/>
        </w:rPr>
      </w:pPr>
      <w:r>
        <w:t xml:space="preserve">5. Uncertainty Quantification</w:t>
      </w:r>
    </w:p>
    <w:p>
      <w:pPr>
        <w:shd w:fill="0D9488" w:color="0D9488" w:val="solid"/>
        <w:spacing w:after="120" w:before="300"/>
        <w:ind w:left="215"/>
      </w:pPr>
      <w:r>
        <w:rPr>
          <w:b/>
          <w:bCs/>
          <w:color w:val="FFFFFF"/>
          <w:sz w:val="28"/>
          <w:szCs w:val="28"/>
        </w:rPr>
        <w:t xml:space="preserve">5.1  Monte Carlo NPV Simulation</w:t>
      </w:r>
    </w:p>
    <w:p>
      <w:pPr>
        <w:spacing w:after="80" w:before="160"/>
      </w:pPr>
      <w:r>
        <w:rPr>
          <w:color w:val="374151"/>
          <w:sz w:val="20"/>
          <w:szCs w:val="20"/>
        </w:rPr>
        <w:t xml:space="preserve">A stochastic NPV model sampling key reservoir and economic uncertainties. Runs n = 5,000 iterations per analysis.</w:t>
      </w:r>
    </w:p>
    <w:p>
      <w:pPr>
        <w:spacing w:after="80" w:before="80"/>
      </w:pPr>
    </w:p>
    <w:p>
      <w:pPr>
        <w:pBdr>
          <w:bottom w:color="0D9488" w:sz="4" w:space="4"/>
        </w:pBdr>
        <w:spacing w:after="80" w:before="240"/>
      </w:pPr>
      <w:r>
        <w:rPr>
          <w:b/>
          <w:bCs/>
          <w:color w:val="1E3A5F"/>
          <w:sz w:val="22"/>
          <w:szCs w:val="22"/>
        </w:rPr>
        <w:t xml:space="preserve">Sampling Distributions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OOIP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Triangular(low, mode, high)  — reflects structural uncertainty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Recovery Factor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Triangular(low, mode, high)  — EOR upside / base / downside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Oil Price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Log-normal(μ, σ)  where σ = mean × CV (CV default 20%)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OPEX</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Normal(mean, std) clamped at 0  — cost uncertainty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CapEx</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Normal(mean, std) clamped at 0  — development cost overrun</w:t>
            </w:r>
          </w:p>
        </w:tc>
      </w:tr>
    </w:tbl>
    <w:p>
      <w:pPr>
        <w:spacing w:after="80" w:before="80"/>
      </w:pPr>
    </w:p>
    <w:p>
      <w:pPr>
        <w:pBdr>
          <w:bottom w:color="0D9488" w:sz="4" w:space="4"/>
        </w:pBdr>
        <w:spacing w:after="80" w:before="240"/>
      </w:pPr>
      <w:r>
        <w:rPr>
          <w:b/>
          <w:bCs/>
          <w:color w:val="1E3A5F"/>
          <w:sz w:val="22"/>
          <w:szCs w:val="22"/>
        </w:rPr>
        <w:t xml:space="preserve">Triangular Distribution Inverse CDF</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u &lt; Fc: x = low + √( u × (high−low) × (mode−low) )</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u ≥ Fc: x = high − √( (1−u) × (high−low) × (high−mode) )</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Fc = (mode − low) / (high − low)</w:t>
      </w:r>
    </w:p>
    <w:p>
      <w:pPr>
        <w:spacing w:after="80" w:before="80"/>
      </w:pPr>
    </w:p>
    <w:p>
      <w:pPr>
        <w:pBdr>
          <w:bottom w:color="0D9488" w:sz="4" w:space="4"/>
        </w:pBdr>
        <w:spacing w:after="80" w:before="240"/>
      </w:pPr>
      <w:r>
        <w:rPr>
          <w:b/>
          <w:bCs/>
          <w:color w:val="1E3A5F"/>
          <w:sz w:val="22"/>
          <w:szCs w:val="22"/>
        </w:rPr>
        <w:t xml:space="preserve">Log-Normal Sampling (Box-Muller)</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z = √(−2 ln U1) × cos(2π U2)    [standard normal]</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σ_ln = √( ln(1 + CV²) )</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μ_ln = ln(mean) − σ_ln²/2</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x = exp(μ_ln + σ_ln × z)</w:t>
      </w:r>
    </w:p>
    <w:p>
      <w:pPr>
        <w:spacing w:after="80" w:before="80"/>
      </w:pPr>
    </w:p>
    <w:p>
      <w:pPr>
        <w:pBdr>
          <w:bottom w:color="0D9488" w:sz="4" w:space="4"/>
        </w:pBdr>
        <w:spacing w:after="80" w:before="240"/>
      </w:pPr>
      <w:r>
        <w:rPr>
          <w:b/>
          <w:bCs/>
          <w:color w:val="1E3A5F"/>
          <w:sz w:val="22"/>
          <w:szCs w:val="22"/>
        </w:rPr>
        <w:t xml:space="preserve">Per-Iteration NPV</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Np_iter = OOIP_iter × RF_iter     [MMbbl ultimate recovery]</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Revenue  = Np_iter × 1e6 × Price_iter / fieldLife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NetCF    = (Revenue − OPEX_iter × Np_iter/fieldLife × 1e6) × (1−tax) − CapEx_iter</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NPV_iter = NetCF × annuity_factor(r, fieldLife)</w:t>
      </w:r>
    </w:p>
    <w:p>
      <w:pPr>
        <w:spacing w:after="80" w:before="80"/>
      </w:pPr>
    </w:p>
    <w:p>
      <w:pPr>
        <w:pBdr>
          <w:bottom w:color="0D9488" w:sz="4" w:space="4"/>
        </w:pBdr>
        <w:spacing w:after="80" w:before="240"/>
      </w:pPr>
      <w:r>
        <w:rPr>
          <w:b/>
          <w:bCs/>
          <w:color w:val="1E3A5F"/>
          <w:sz w:val="22"/>
          <w:szCs w:val="22"/>
        </w:rPr>
        <w:t xml:space="preserve">Output Statistics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P90 (optimistic)</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10th percentile of sorted NPV distribution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P50 (base case)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50th percentile of sorted NPV distribution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P10 (pessimistic)</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90th percentile of sorted NPV distribution</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DeepDive Analytics – Monte Carlo histogram and P10/P50/P90 cards</w:t>
      </w:r>
    </w:p>
    <w:p>
      <w:pPr>
        <w:spacing w:after="60" w:before="80"/>
      </w:pPr>
      <w:r>
        <w:rPr>
          <w:b/>
          <w:bCs/>
          <w:color w:val="374151"/>
          <w:sz w:val="20"/>
          <w:szCs w:val="20"/>
        </w:rPr>
        <w:t xml:space="preserve">Implementation: </w:t>
      </w:r>
      <w:r>
        <w:rPr>
          <w:color w:val="374151"/>
          <w:sz w:val="20"/>
          <w:szCs w:val="20"/>
        </w:rPr>
        <w:t xml:space="preserve">runMonteCarloNPV(inputs, n)  ·  getPercentile(sorted, p)  ·  buildHistogramBins(values, bins)</w:t>
      </w:r>
    </w:p>
    <w:p>
      <w:pPr>
        <w:spacing w:after="80" w:before="80"/>
      </w:pPr>
    </w:p>
    <w:p>
      <w:pPr>
        <w:shd w:fill="0D9488" w:color="0D9488" w:val="solid"/>
        <w:spacing w:after="120" w:before="300"/>
        <w:ind w:left="215"/>
      </w:pPr>
      <w:r>
        <w:rPr>
          <w:b/>
          <w:bCs/>
          <w:color w:val="FFFFFF"/>
          <w:sz w:val="28"/>
          <w:szCs w:val="28"/>
        </w:rPr>
        <w:t xml:space="preserve">5.2  One-At-a-Time (OAT) Sensitivity – Tornado Chart</w:t>
      </w:r>
    </w:p>
    <w:p>
      <w:pPr>
        <w:spacing w:after="80" w:before="160"/>
      </w:pPr>
      <w:r>
        <w:rPr>
          <w:color w:val="374151"/>
          <w:sz w:val="20"/>
          <w:szCs w:val="20"/>
        </w:rPr>
        <w:t xml:space="preserve">Perturbs each input parameter ±20% (holding all others fixed) and measures the resulting NPV swing. Sorted by absolute impact for tornado chart display.</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Swing_i = NPV(+20%_i) − NPV(−20%_i)</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Sensitivity_i = Swing_i / BaseNPV × 100  [%]</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Oil Price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±20% of base price ($80/bbl)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Permeability</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±15% proxy affecting production rate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OOIP</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±15% structural uncertainty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Recovery Factor</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±15% EOR efficiency uncertainty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OPEX</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±20% cost uncertainty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Discount Rate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±20% of base 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Gas Revenue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±20% of gas contribution</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Decline Rate (Di)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±20% of field Di</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Uncertainty screen – Tornado Chart</w:t>
      </w:r>
    </w:p>
    <w:p>
      <w:pPr>
        <w:spacing w:after="60" w:before="80"/>
      </w:pPr>
      <w:r>
        <w:rPr>
          <w:b/>
          <w:bCs/>
          <w:color w:val="374151"/>
          <w:sz w:val="20"/>
          <w:szCs w:val="20"/>
        </w:rPr>
        <w:t xml:space="preserve">Implementation: </w:t>
      </w:r>
      <w:r>
        <w:rPr>
          <w:color w:val="374151"/>
          <w:sz w:val="20"/>
          <w:szCs w:val="20"/>
        </w:rPr>
        <w:t xml:space="preserve">calculateOATSensitivity(baseNPV_MM, parameters)</w:t>
      </w:r>
    </w:p>
    <w:p>
      <w:pPr>
        <w:spacing w:after="80" w:before="80"/>
      </w:pPr>
    </w:p>
    <w:p>
      <w:pPr>
        <w:pStyle w:val="Heading1"/>
        <w:shd w:fill="1E3A5F" w:color="1E3A5F" w:val="solid"/>
        <w:spacing w:after="180" w:before="360"/>
        <w:ind w:left="288" w:right="288"/>
        <w:rPr>
          <w:b/>
          <w:bCs/>
          <w:color w:val="FFFFFF"/>
          <w:sz w:val="36"/>
          <w:szCs w:val="36"/>
        </w:rPr>
      </w:pPr>
      <w:r>
        <w:t xml:space="preserve">6. History Matching Quality Metrics</w:t>
      </w:r>
    </w:p>
    <w:p>
      <w:pPr>
        <w:shd w:fill="0D9488" w:color="0D9488" w:val="solid"/>
        <w:spacing w:after="120" w:before="300"/>
        <w:ind w:left="215"/>
      </w:pPr>
      <w:r>
        <w:rPr>
          <w:b/>
          <w:bCs/>
          <w:color w:val="FFFFFF"/>
          <w:sz w:val="28"/>
          <w:szCs w:val="28"/>
        </w:rPr>
        <w:t xml:space="preserve">6.1  Coefficient of Determination (R²)</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R² = 1 − SS_res / SS_tot</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SS_res = Σ (y_obs_i − y_sim_i)²</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SS_tot = Σ (y_obs_i − ȳ_obs)²</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R²</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Goodness of fit (1.0 = perfect match)</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y_obs_i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Observed production/pressure value at step i</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y_sim_i</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Simulated model value at step i</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ȳ_obs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Mean of observed values</w:t>
            </w:r>
          </w:p>
        </w:tc>
      </w:tr>
    </w:tbl>
    <w:p>
      <w:pPr>
        <w:spacing w:after="80" w:before="80"/>
      </w:pPr>
    </w:p>
    <w:p>
      <w:pPr>
        <w:shd w:fill="0D9488" w:color="0D9488" w:val="solid"/>
        <w:spacing w:after="120" w:before="300"/>
        <w:ind w:left="215"/>
      </w:pPr>
      <w:r>
        <w:rPr>
          <w:b/>
          <w:bCs/>
          <w:color w:val="FFFFFF"/>
          <w:sz w:val="28"/>
          <w:szCs w:val="28"/>
        </w:rPr>
        <w:t xml:space="preserve">6.2  Root Mean Square Error (RMSE)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RMSE = √( Σ (y_obs_i − y_sim_i)² / n )</w:t>
      </w:r>
    </w:p>
    <w:p>
      <w:pPr>
        <w:spacing w:after="80" w:before="80"/>
      </w:pPr>
    </w:p>
    <w:p>
      <w:pPr>
        <w:spacing w:after="60" w:before="80"/>
      </w:pPr>
      <w:r>
        <w:rPr>
          <w:b/>
          <w:bCs/>
          <w:color w:val="374151"/>
          <w:sz w:val="20"/>
          <w:szCs w:val="20"/>
        </w:rPr>
        <w:t xml:space="preserve">Normalisation: </w:t>
      </w:r>
      <w:r>
        <w:rPr>
          <w:color w:val="374151"/>
          <w:sz w:val="20"/>
          <w:szCs w:val="20"/>
        </w:rPr>
        <w:t xml:space="preserve">Sometimes expressed as a fraction of the mean observed value</w:t>
      </w:r>
    </w:p>
    <w:p>
      <w:pPr>
        <w:spacing w:after="80" w:before="80"/>
      </w:pPr>
    </w:p>
    <w:p>
      <w:pPr>
        <w:shd w:fill="0D9488" w:color="0D9488" w:val="solid"/>
        <w:spacing w:after="120" w:before="300"/>
        <w:ind w:left="215"/>
      </w:pPr>
      <w:r>
        <w:rPr>
          <w:b/>
          <w:bCs/>
          <w:color w:val="FFFFFF"/>
          <w:sz w:val="28"/>
          <w:szCs w:val="28"/>
        </w:rPr>
        <w:t xml:space="preserve">6.3  Mean Absolute Percentage Error (MAPE)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MAPE (%) = (100/n) × Σ |y_obs_i − y_sim_i| / |y_obs_i|</w:t>
      </w:r>
    </w:p>
    <w:p>
      <w:pPr>
        <w:spacing w:after="80" w:before="80"/>
      </w:pPr>
    </w:p>
    <w:p>
      <w:pPr>
        <w:shd w:fill="0D9488" w:color="0D9488" w:val="solid"/>
        <w:spacing w:after="120" w:before="300"/>
        <w:ind w:left="215"/>
      </w:pPr>
      <w:r>
        <w:rPr>
          <w:b/>
          <w:bCs/>
          <w:color w:val="FFFFFF"/>
          <w:sz w:val="28"/>
          <w:szCs w:val="28"/>
        </w:rPr>
        <w:t xml:space="preserve">6.4  Composite History Match Quality Score</w:t>
      </w:r>
    </w:p>
    <w:p>
      <w:pPr>
        <w:spacing w:after="80" w:before="160"/>
      </w:pPr>
      <w:r>
        <w:rPr>
          <w:color w:val="374151"/>
          <w:sz w:val="20"/>
          <w:szCs w:val="20"/>
        </w:rPr>
        <w:t xml:space="preserve">Combines production match and pressure match quality into a single 0–100% score.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HMQ = 0.6 × R²_prod × 100  +  0.4 × R²_press × 100   (if pressure data available)</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HMQ = R²_prod × 100                                    (production only)</w:t>
      </w:r>
    </w:p>
    <w:p>
      <w:pPr>
        <w:spacing w:after="80" w:before="80"/>
      </w:pPr>
    </w:p>
    <w:p>
      <w:pPr>
        <w:spacing w:after="60" w:before="80"/>
      </w:pPr>
      <w:r>
        <w:rPr>
          <w:b/>
          <w:bCs/>
          <w:color w:val="374151"/>
          <w:sz w:val="20"/>
          <w:szCs w:val="20"/>
        </w:rPr>
        <w:t xml:space="preserve">Application: </w:t>
      </w:r>
      <w:r>
        <w:rPr>
          <w:color w:val="374151"/>
          <w:sz w:val="20"/>
          <w:szCs w:val="20"/>
        </w:rPr>
        <w:t xml:space="preserve">History Matching screen – Quality Score card</w:t>
      </w:r>
    </w:p>
    <w:p>
      <w:pPr>
        <w:spacing w:after="60" w:before="80"/>
      </w:pPr>
      <w:r>
        <w:rPr>
          <w:b/>
          <w:bCs/>
          <w:color w:val="374151"/>
          <w:sz w:val="20"/>
          <w:szCs w:val="20"/>
        </w:rPr>
        <w:t xml:space="preserve">Implementation: </w:t>
      </w:r>
      <w:r>
        <w:rPr>
          <w:color w:val="374151"/>
          <w:sz w:val="20"/>
          <w:szCs w:val="20"/>
        </w:rPr>
        <w:t xml:space="preserve">calculateHistoryMatchQuality(observedProd, simulatedProd, observedPressure?, simulatedPressure?)</w:t>
      </w:r>
    </w:p>
    <w:p>
      <w:pPr>
        <w:spacing w:after="80" w:before="80"/>
      </w:pPr>
    </w:p>
    <w:p>
      <w:pPr>
        <w:shd w:fill="0D9488" w:color="0D9488" w:val="solid"/>
        <w:spacing w:after="120" w:before="300"/>
        <w:ind w:left="215"/>
      </w:pPr>
      <w:r>
        <w:rPr>
          <w:b/>
          <w:bCs/>
          <w:color w:val="FFFFFF"/>
          <w:sz w:val="28"/>
          <w:szCs w:val="28"/>
        </w:rPr>
        <w:t xml:space="preserve">6.5  Historical Chart Data Generation</w:t>
      </w:r>
    </w:p>
    <w:p>
      <w:pPr>
        <w:spacing w:after="80" w:before="160"/>
      </w:pPr>
      <w:r>
        <w:rPr>
          <w:color w:val="374151"/>
          <w:sz w:val="20"/>
          <w:szCs w:val="20"/>
        </w:rPr>
        <w:t xml:space="preserve">Synthetic historical data is generated using Arps decline with seasonal perturbations (sinusoidal, no random noise) so the chart remains deterministic and reproducible across re-renders.</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q_seasonal(t) = q_decline(t) × (1 + 0.04 × sin(2π × month/12))</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q_simulated(t) = q_decline(t)   [clean model curve]</w:t>
      </w:r>
    </w:p>
    <w:p>
      <w:pPr>
        <w:spacing w:after="80" w:before="80"/>
      </w:pPr>
    </w:p>
    <w:p>
      <w:pPr>
        <w:spacing w:after="60" w:before="80"/>
      </w:pPr>
      <w:r>
        <w:rPr>
          <w:b/>
          <w:bCs/>
          <w:color w:val="374151"/>
          <w:sz w:val="20"/>
          <w:szCs w:val="20"/>
        </w:rPr>
        <w:t xml:space="preserve">Application: </w:t>
      </w:r>
      <w:r>
        <w:rPr>
          <w:color w:val="374151"/>
          <w:sz w:val="20"/>
          <w:szCs w:val="20"/>
        </w:rPr>
        <w:t xml:space="preserve">History Matching screen – production match chart</w:t>
      </w:r>
    </w:p>
    <w:p>
      <w:pPr>
        <w:spacing w:after="60" w:before="80"/>
      </w:pPr>
      <w:r>
        <w:rPr>
          <w:b/>
          <w:bCs/>
          <w:color w:val="374151"/>
          <w:sz w:val="20"/>
          <w:szCs w:val="20"/>
        </w:rPr>
        <w:t xml:space="preserve">Implementation: </w:t>
      </w:r>
      <w:r>
        <w:rPr>
          <w:color w:val="374151"/>
          <w:sz w:val="20"/>
          <w:szCs w:val="20"/>
        </w:rPr>
        <w:t xml:space="preserve">generateMatchChartData(currentRate, Di, b, firstOilYear, ...)</w:t>
      </w:r>
    </w:p>
    <w:p>
      <w:pPr>
        <w:spacing w:after="80" w:before="80"/>
      </w:pPr>
    </w:p>
    <w:p>
      <w:pPr>
        <w:pStyle w:val="Heading1"/>
        <w:shd w:fill="1E3A5F" w:color="1E3A5F" w:val="solid"/>
        <w:spacing w:after="180" w:before="360"/>
        <w:ind w:left="288" w:right="288"/>
        <w:rPr>
          <w:b/>
          <w:bCs/>
          <w:color w:val="FFFFFF"/>
          <w:sz w:val="36"/>
          <w:szCs w:val="36"/>
        </w:rPr>
      </w:pPr>
      <w:r>
        <w:t xml:space="preserve">7. Oil Price Scenario Modelling</w:t>
      </w:r>
    </w:p>
    <w:p>
      <w:pPr>
        <w:shd w:fill="0D9488" w:color="0D9488" w:val="solid"/>
        <w:spacing w:after="120" w:before="300"/>
        <w:ind w:left="215"/>
      </w:pPr>
      <w:r>
        <w:rPr>
          <w:b/>
          <w:bCs/>
          <w:color w:val="FFFFFF"/>
          <w:sz w:val="28"/>
          <w:szCs w:val="28"/>
        </w:rPr>
        <w:t xml:space="preserve">7.1  Ornstein-Uhlenbeck Mean-Reversion</w:t>
      </w:r>
    </w:p>
    <w:p>
      <w:pPr>
        <w:spacing w:after="80" w:before="160"/>
      </w:pPr>
      <w:r>
        <w:rPr>
          <w:color w:val="374151"/>
          <w:sz w:val="20"/>
          <w:szCs w:val="20"/>
        </w:rPr>
        <w:t xml:space="preserve">Deterministic price path (no random term) using mean-reversion dynamics. Models the tendency of oil prices to revert toward a long-run equilibrium.</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P(t) = P_eq + (P_0 − P_eq) × exp(−κ × t)</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Price at year t ($/bbl)</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P_0</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Current oil price ($/bbl, default $78)</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P_eq</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Long-run equilibrium price ($/bbl, default $72)</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κ</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Mean-reversion speed (yr⁻¹, default 0.20)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t</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Years from today</w:t>
            </w:r>
          </w:p>
        </w:tc>
      </w:tr>
    </w:tbl>
    <w:p>
      <w:pPr>
        <w:spacing w:after="80" w:before="80"/>
      </w:pPr>
    </w:p>
    <w:p>
      <w:pPr>
        <w:pBdr>
          <w:bottom w:color="0D9488" w:sz="4" w:space="4"/>
        </w:pBdr>
        <w:spacing w:after="80" w:before="240"/>
      </w:pPr>
      <w:r>
        <w:rPr>
          <w:b/>
          <w:bCs/>
          <w:color w:val="1E3A5F"/>
          <w:sz w:val="22"/>
          <w:szCs w:val="22"/>
        </w:rPr>
        <w:t xml:space="preserve">Scenario Bands</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P_bull(t)  = P(t) × (1 + uplift)   [upside scenario, default +25%]</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P_base(t)  = P(t)                   [base / central scenario]</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P_bear(t)  = P(t) × (1 − haircut)  [downside scenario, default −30%]</w:t>
      </w:r>
    </w:p>
    <w:p>
      <w:pPr>
        <w:spacing w:after="80" w:before="80"/>
      </w:pPr>
    </w:p>
    <w:p>
      <w:pPr>
        <w:spacing w:after="60" w:before="80"/>
      </w:pPr>
      <w:r>
        <w:rPr>
          <w:b/>
          <w:bCs/>
          <w:color w:val="374151"/>
          <w:sz w:val="20"/>
          <w:szCs w:val="20"/>
        </w:rPr>
        <w:t xml:space="preserve">Application: </w:t>
      </w:r>
      <w:r>
        <w:rPr>
          <w:color w:val="374151"/>
          <w:sz w:val="20"/>
          <w:szCs w:val="20"/>
        </w:rPr>
        <w:t xml:space="preserve">Market Volatility screen – price scenario fan chart</w:t>
      </w:r>
    </w:p>
    <w:p>
      <w:pPr>
        <w:spacing w:after="60" w:before="80"/>
      </w:pPr>
      <w:r>
        <w:rPr>
          <w:b/>
          <w:bCs/>
          <w:color w:val="374151"/>
          <w:sz w:val="20"/>
          <w:szCs w:val="20"/>
        </w:rPr>
        <w:t xml:space="preserve">Implementation: </w:t>
      </w:r>
      <w:r>
        <w:rPr>
          <w:color w:val="374151"/>
          <w:sz w:val="20"/>
          <w:szCs w:val="20"/>
        </w:rPr>
        <w:t xml:space="preserve">generatePriceScenarios(current, equilibrium, κ, startYear, years, uplift, haircut)</w:t>
      </w:r>
    </w:p>
    <w:p>
      <w:pPr>
        <w:spacing w:after="80" w:before="80"/>
      </w:pPr>
    </w:p>
    <w:p>
      <w:pPr>
        <w:pStyle w:val="Heading1"/>
        <w:shd w:fill="1E3A5F" w:color="1E3A5F" w:val="solid"/>
        <w:spacing w:after="180" w:before="360"/>
        <w:ind w:left="288" w:right="288"/>
        <w:rPr>
          <w:b/>
          <w:bCs/>
          <w:color w:val="FFFFFF"/>
          <w:sz w:val="36"/>
          <w:szCs w:val="36"/>
        </w:rPr>
      </w:pPr>
      <w:r>
        <w:t xml:space="preserve">8. Data Health &amp; Completeness</w:t>
      </w:r>
    </w:p>
    <w:p>
      <w:pPr>
        <w:shd w:fill="0D9488" w:color="0D9488" w:val="solid"/>
        <w:spacing w:after="120" w:before="300"/>
        <w:ind w:left="215"/>
      </w:pPr>
      <w:r>
        <w:rPr>
          <w:b/>
          <w:bCs/>
          <w:color w:val="FFFFFF"/>
          <w:sz w:val="28"/>
          <w:szCs w:val="28"/>
        </w:rPr>
        <w:t xml:space="preserve">8.1  Weighted Data Completeness</w:t>
      </w:r>
    </w:p>
    <w:p>
      <w:pPr>
        <w:spacing w:after="80" w:before="160"/>
      </w:pPr>
      <w:r>
        <w:rPr>
          <w:color w:val="374151"/>
          <w:sz w:val="20"/>
          <w:szCs w:val="20"/>
        </w:rPr>
        <w:t xml:space="preserve">Each data category is assessed for the number of validated items versus total required items. Category scores are averaged weighted by importance.</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Completeness_i (%) = validatedItems_i / totalItems_i × 100</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OverallCompleteness = Σ (Completeness_i × weight_i) / Σ weight_i</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Static Model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0.25  (structural framework – highest criticality)</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Well Data</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0.20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Petrophysical Logs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0.20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Geological Interpretations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0.15</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Geophysical Data</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Production History</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 = 0.10</w:t>
            </w:r>
          </w:p>
        </w:tc>
      </w:tr>
    </w:tbl>
    <w:p>
      <w:pPr>
        <w:spacing w:after="80" w:before="80"/>
      </w:pPr>
    </w:p>
    <w:p>
      <w:pPr>
        <w:spacing w:after="60" w:before="80"/>
      </w:pPr>
      <w:r>
        <w:rPr>
          <w:b/>
          <w:bCs/>
          <w:color w:val="374151"/>
          <w:sz w:val="20"/>
          <w:szCs w:val="20"/>
        </w:rPr>
        <w:t xml:space="preserve">Application: </w:t>
      </w:r>
      <w:r>
        <w:rPr>
          <w:color w:val="374151"/>
          <w:sz w:val="20"/>
          <w:szCs w:val="20"/>
        </w:rPr>
        <w:t xml:space="preserve">Data Health screen – Overall Completeness gauge</w:t>
      </w:r>
    </w:p>
    <w:p>
      <w:pPr>
        <w:spacing w:after="60" w:before="80"/>
      </w:pPr>
      <w:r>
        <w:rPr>
          <w:b/>
          <w:bCs/>
          <w:color w:val="374151"/>
          <w:sz w:val="20"/>
          <w:szCs w:val="20"/>
        </w:rPr>
        <w:t xml:space="preserve">Implementation: </w:t>
      </w:r>
      <w:r>
        <w:rPr>
          <w:color w:val="374151"/>
          <w:sz w:val="20"/>
          <w:szCs w:val="20"/>
        </w:rPr>
        <w:t xml:space="preserve">calculateWeightedCompleteness(categories)</w:t>
      </w:r>
    </w:p>
    <w:p>
      <w:pPr>
        <w:spacing w:after="80" w:before="80"/>
      </w:pPr>
    </w:p>
    <w:p>
      <w:pPr>
        <w:shd w:fill="0D9488" w:color="0D9488" w:val="solid"/>
        <w:spacing w:after="120" w:before="300"/>
        <w:ind w:left="215"/>
      </w:pPr>
      <w:r>
        <w:rPr>
          <w:b/>
          <w:bCs/>
          <w:color w:val="FFFFFF"/>
          <w:sz w:val="28"/>
          <w:szCs w:val="28"/>
        </w:rPr>
        <w:t xml:space="preserve">8.2  Critical Gaps Count</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CriticalGaps = Σ criticalMissing_i  (across all categories)</w:t>
      </w:r>
    </w:p>
    <w:p>
      <w:pPr>
        <w:spacing w:after="80" w:before="80"/>
      </w:pPr>
    </w:p>
    <w:p>
      <w:pPr>
        <w:shd w:fill="0D9488" w:color="0D9488" w:val="solid"/>
        <w:spacing w:after="120" w:before="300"/>
        <w:ind w:left="215"/>
      </w:pPr>
      <w:r>
        <w:rPr>
          <w:b/>
          <w:bCs/>
          <w:color w:val="FFFFFF"/>
          <w:sz w:val="28"/>
          <w:szCs w:val="28"/>
        </w:rPr>
        <w:t xml:space="preserve">8.3  Validation Aggregation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TotalValidated = Σ validatedItems_i</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TotalRequired  = Σ totalItems_i</w:t>
      </w:r>
    </w:p>
    <w:p>
      <w:pPr>
        <w:spacing w:after="80" w:before="80"/>
      </w:pPr>
    </w:p>
    <w:p>
      <w:pPr>
        <w:spacing w:after="60" w:before="80"/>
      </w:pPr>
      <w:r>
        <w:rPr>
          <w:b/>
          <w:bCs/>
          <w:color w:val="374151"/>
          <w:sz w:val="20"/>
          <w:szCs w:val="20"/>
        </w:rPr>
        <w:t xml:space="preserve">Application: </w:t>
      </w:r>
      <w:r>
        <w:rPr>
          <w:color w:val="374151"/>
          <w:sz w:val="20"/>
          <w:szCs w:val="20"/>
        </w:rPr>
        <w:t xml:space="preserve">Data Health screen – validated/total counter</w:t>
      </w:r>
    </w:p>
    <w:p>
      <w:pPr>
        <w:spacing w:after="80" w:before="80"/>
      </w:pPr>
    </w:p>
    <w:p>
      <w:pPr>
        <w:pStyle w:val="Heading1"/>
        <w:shd w:fill="1E3A5F" w:color="1E3A5F" w:val="solid"/>
        <w:spacing w:after="180" w:before="360"/>
        <w:ind w:left="288" w:right="288"/>
        <w:rPr>
          <w:b/>
          <w:bCs/>
          <w:color w:val="FFFFFF"/>
          <w:sz w:val="36"/>
          <w:szCs w:val="36"/>
        </w:rPr>
      </w:pPr>
      <w:r>
        <w:t xml:space="preserve">9. FDP Completion Score</w:t>
      </w:r>
    </w:p>
    <w:p>
      <w:pPr>
        <w:spacing w:after="80" w:before="160"/>
      </w:pPr>
      <w:r>
        <w:rPr>
          <w:color w:val="374151"/>
          <w:sz w:val="20"/>
          <w:szCs w:val="20"/>
        </w:rPr>
        <w:t xml:space="preserve">The overall FDP completion percentage is calculated as a weighted average of key development milestones, where each milestone is assigned a relative importance weight.</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FDPCompletion (%) = Σ (progress_i × weight_i) / Σ weight_i</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Milestone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Data Acquisition &amp; QC</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0.15</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Static Model Build</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0.20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Dynamic Simulation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0.25</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Uncertainty Quantification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0.15</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Development Concept Selection</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0.10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Economics &amp; Approvals</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0.15</w:t>
            </w:r>
          </w:p>
        </w:tc>
      </w:tr>
    </w:tbl>
    <w:p>
      <w:pPr>
        <w:spacing w:after="80" w:before="80"/>
      </w:pPr>
    </w:p>
    <w:p>
      <w:pPr>
        <w:spacing w:after="80" w:before="160"/>
      </w:pPr>
      <w:r>
        <w:rPr>
          <w:color w:val="374151"/>
          <w:sz w:val="20"/>
          <w:szCs w:val="20"/>
        </w:rPr>
        <w:t xml:space="preserve">Each milestone progress value (0–100%) is tracked against its status: Not Started = 0%, In Progress = 0–99%, Completed = 100%.</w:t>
      </w:r>
    </w:p>
    <w:p>
      <w:pPr>
        <w:spacing w:after="80" w:before="80"/>
      </w:pPr>
    </w:p>
    <w:p>
      <w:pPr>
        <w:spacing w:after="60" w:before="80"/>
      </w:pPr>
      <w:r>
        <w:rPr>
          <w:b/>
          <w:bCs/>
          <w:color w:val="374151"/>
          <w:sz w:val="20"/>
          <w:szCs w:val="20"/>
        </w:rPr>
        <w:t xml:space="preserve">Application: </w:t>
      </w:r>
      <w:r>
        <w:rPr>
          <w:color w:val="374151"/>
          <w:sz w:val="20"/>
          <w:szCs w:val="20"/>
        </w:rPr>
        <w:t xml:space="preserve">Executive Dashboard – FDP Completion KPI</w:t>
      </w:r>
    </w:p>
    <w:p>
      <w:pPr>
        <w:spacing w:after="60" w:before="80"/>
      </w:pPr>
      <w:r>
        <w:rPr>
          <w:b/>
          <w:bCs/>
          <w:color w:val="374151"/>
          <w:sz w:val="20"/>
          <w:szCs w:val="20"/>
        </w:rPr>
        <w:t xml:space="preserve">Implementation: </w:t>
      </w:r>
      <w:r>
        <w:rPr>
          <w:color w:val="374151"/>
          <w:sz w:val="20"/>
          <w:szCs w:val="20"/>
        </w:rPr>
        <w:t xml:space="preserve">calculateFDPCompletion(milestones)</w:t>
      </w:r>
    </w:p>
    <w:p>
      <w:pPr>
        <w:spacing w:after="80" w:before="80"/>
      </w:pPr>
    </w:p>
    <w:p>
      <w:pPr>
        <w:pStyle w:val="Heading1"/>
        <w:shd w:fill="1E3A5F" w:color="1E3A5F" w:val="solid"/>
        <w:spacing w:after="180" w:before="360"/>
        <w:ind w:left="288" w:right="288"/>
        <w:rPr>
          <w:b/>
          <w:bCs/>
          <w:color w:val="FFFFFF"/>
          <w:sz w:val="36"/>
          <w:szCs w:val="36"/>
        </w:rPr>
      </w:pPr>
      <w:r>
        <w:t xml:space="preserve">10. AI Confidence Score</w:t>
      </w:r>
    </w:p>
    <w:p>
      <w:pPr>
        <w:spacing w:after="80" w:before="160"/>
      </w:pPr>
      <w:r>
        <w:rPr>
          <w:color w:val="374151"/>
          <w:sz w:val="20"/>
          <w:szCs w:val="20"/>
        </w:rPr>
        <w:t xml:space="preserve">A composite metric measuring the reliability of AI-generated insights based on three orthogonal quality dimensions.</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DataQuality     = dataCompleteness (%)</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ModelConfidence = historyMatchR2 × 100</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UncertCoverage  = uncertaintyCoverage × 100     (default 75%)</w:t>
      </w:r>
    </w:p>
    <w:p>
      <w:pPr>
        <w:spacing w:after="80" w:before="80"/>
      </w:pP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AIConfidence_overall = 0.40 × DataQuality + 0.35 × ModelConfidence + 0.25 × UncertCoverage</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DataQuality</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Weighted data completeness score (0–100%)</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ModelConfidence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History match R² scaled to percentage</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UncertCoverage</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Fraction of uncertainty parameter space modelled (0–1)</w:t>
            </w:r>
          </w:p>
        </w:tc>
      </w:tr>
    </w:tbl>
    <w:p>
      <w:pPr>
        <w:spacing w:after="80" w:before="80"/>
      </w:pPr>
    </w:p>
    <w:p>
      <w:pPr>
        <w:pBdr>
          <w:bottom w:color="0D9488" w:sz="4" w:space="4"/>
        </w:pBdr>
        <w:spacing w:after="80" w:before="240"/>
      </w:pPr>
      <w:r>
        <w:rPr>
          <w:b/>
          <w:bCs/>
          <w:color w:val="1E3A5F"/>
          <w:sz w:val="22"/>
          <w:szCs w:val="22"/>
        </w:rPr>
        <w:t xml:space="preserve">Sub-scores (displayed on Insights screen)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InsightReliability = 0.5 × ModelConfidence + 0.3 × UncertCoverage + 0.2 × DataQuality</w:t>
      </w:r>
    </w:p>
    <w:p>
      <w:pPr>
        <w:spacing w:after="80" w:before="80"/>
      </w:pPr>
    </w:p>
    <w:p>
      <w:pPr>
        <w:spacing w:after="60" w:before="80"/>
      </w:pPr>
      <w:r>
        <w:rPr>
          <w:b/>
          <w:bCs/>
          <w:color w:val="374151"/>
          <w:sz w:val="20"/>
          <w:szCs w:val="20"/>
        </w:rPr>
        <w:t xml:space="preserve">Application: </w:t>
      </w:r>
      <w:r>
        <w:rPr>
          <w:color w:val="374151"/>
          <w:sz w:val="20"/>
          <w:szCs w:val="20"/>
        </w:rPr>
        <w:t xml:space="preserve">Insights screen – AI confidence gauge; FDP Summary – model confidence</w:t>
      </w:r>
    </w:p>
    <w:p>
      <w:pPr>
        <w:spacing w:after="60" w:before="80"/>
      </w:pPr>
      <w:r>
        <w:rPr>
          <w:b/>
          <w:bCs/>
          <w:color w:val="374151"/>
          <w:sz w:val="20"/>
          <w:szCs w:val="20"/>
        </w:rPr>
        <w:t xml:space="preserve">Implementation: </w:t>
      </w:r>
      <w:r>
        <w:rPr>
          <w:color w:val="374151"/>
          <w:sz w:val="20"/>
          <w:szCs w:val="20"/>
        </w:rPr>
        <w:t xml:space="preserve">calculateAIConfidence(dataCompleteness, historyMatchR2, uncertaintyCoverage)</w:t>
      </w:r>
    </w:p>
    <w:p>
      <w:pPr>
        <w:spacing w:after="80" w:before="80"/>
      </w:pPr>
    </w:p>
    <w:p>
      <w:pPr>
        <w:pStyle w:val="Heading1"/>
        <w:shd w:fill="1E3A5F" w:color="1E3A5F" w:val="solid"/>
        <w:spacing w:after="180" w:before="360"/>
        <w:ind w:left="288" w:right="288"/>
        <w:rPr>
          <w:b/>
          <w:bCs/>
          <w:color w:val="FFFFFF"/>
          <w:sz w:val="36"/>
          <w:szCs w:val="36"/>
        </w:rPr>
      </w:pPr>
      <w:r>
        <w:t xml:space="preserve">11. Portfolio Analytics</w:t>
      </w:r>
    </w:p>
    <w:p>
      <w:pPr>
        <w:shd w:fill="0D9488" w:color="0D9488" w:val="solid"/>
        <w:spacing w:after="120" w:before="300"/>
        <w:ind w:left="215"/>
      </w:pPr>
      <w:r>
        <w:rPr>
          <w:b/>
          <w:bCs/>
          <w:color w:val="FFFFFF"/>
          <w:sz w:val="28"/>
          <w:szCs w:val="28"/>
        </w:rPr>
        <w:t xml:space="preserve">11.1  Portfolio NPV Aggregation</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NPV_portfolio = Σ NPV_field_i     [sum across all active fields]</w:t>
      </w:r>
    </w:p>
    <w:p>
      <w:pPr>
        <w:spacing w:after="80" w:before="80"/>
      </w:pPr>
    </w:p>
    <w:p>
      <w:pPr>
        <w:spacing w:after="60" w:before="80"/>
      </w:pPr>
      <w:r>
        <w:rPr>
          <w:b/>
          <w:bCs/>
          <w:color w:val="374151"/>
          <w:sz w:val="20"/>
          <w:szCs w:val="20"/>
        </w:rPr>
        <w:t xml:space="preserve">Application: </w:t>
      </w:r>
      <w:r>
        <w:rPr>
          <w:color w:val="374151"/>
          <w:sz w:val="20"/>
          <w:szCs w:val="20"/>
        </w:rPr>
        <w:t xml:space="preserve">Executive Dashboard – Total Portfolio Value</w:t>
      </w:r>
    </w:p>
    <w:p>
      <w:pPr>
        <w:spacing w:after="60" w:before="80"/>
      </w:pPr>
      <w:r>
        <w:rPr>
          <w:b/>
          <w:bCs/>
          <w:color w:val="374151"/>
          <w:sz w:val="20"/>
          <w:szCs w:val="20"/>
        </w:rPr>
        <w:t xml:space="preserve">Implementation: </w:t>
      </w:r>
      <w:r>
        <w:rPr>
          <w:color w:val="374151"/>
          <w:sz w:val="20"/>
          <w:szCs w:val="20"/>
        </w:rPr>
        <w:t xml:space="preserve">aggregatePortfolioNPV(fieldNPVs)</w:t>
      </w:r>
    </w:p>
    <w:p>
      <w:pPr>
        <w:spacing w:after="80" w:before="80"/>
      </w:pPr>
    </w:p>
    <w:p>
      <w:pPr>
        <w:shd w:fill="0D9488" w:color="0D9488" w:val="solid"/>
        <w:spacing w:after="120" w:before="300"/>
        <w:ind w:left="215"/>
      </w:pPr>
      <w:r>
        <w:rPr>
          <w:b/>
          <w:bCs/>
          <w:color w:val="FFFFFF"/>
          <w:sz w:val="28"/>
          <w:szCs w:val="28"/>
        </w:rPr>
        <w:t xml:space="preserve">11.2  Portfolio Capital Efficiency</w:t>
      </w:r>
    </w:p>
    <w:p>
      <w:pPr>
        <w:pBdr>
          <w:left w:color="0D9488" w:sz="8" w:space="6"/>
        </w:pBdr>
        <w:shd w:fill="EFF6FF" w:color="EFF6FF" w:val="solid"/>
        <w:spacing w:after="100" w:before="100"/>
        <w:ind w:left="576"/>
      </w:pPr>
      <w:r>
        <w:rPr>
          <w:rFonts w:ascii="Courier New" w:cs="Courier New" w:eastAsia="Courier New" w:hAnsi="Courier New"/>
          <w:color w:val="1E40AF"/>
          <w:sz w:val="18"/>
          <w:szCs w:val="18"/>
        </w:rPr>
        <w:t xml:space="preserve">VIR_portfolio = NPV_portfolio / Σ PV(CapEx_field_i)</w:t>
      </w:r>
    </w:p>
    <w:p>
      <w:pPr>
        <w:spacing w:after="80" w:before="80"/>
      </w:pPr>
    </w:p>
    <w:p>
      <w:pPr>
        <w:spacing w:after="60" w:before="80"/>
      </w:pPr>
      <w:r>
        <w:rPr>
          <w:b/>
          <w:bCs/>
          <w:color w:val="374151"/>
          <w:sz w:val="20"/>
          <w:szCs w:val="20"/>
        </w:rPr>
        <w:t xml:space="preserve">Application: </w:t>
      </w:r>
      <w:r>
        <w:rPr>
          <w:color w:val="374151"/>
          <w:sz w:val="20"/>
          <w:szCs w:val="20"/>
        </w:rPr>
        <w:t xml:space="preserve">Executive Dashboard – Portfolio VIR</w:t>
      </w:r>
    </w:p>
    <w:p>
      <w:pPr>
        <w:spacing w:after="60" w:before="80"/>
      </w:pPr>
      <w:r>
        <w:rPr>
          <w:b/>
          <w:bCs/>
          <w:color w:val="374151"/>
          <w:sz w:val="20"/>
          <w:szCs w:val="20"/>
        </w:rPr>
        <w:t xml:space="preserve">Implementation: </w:t>
      </w:r>
      <w:r>
        <w:rPr>
          <w:color w:val="374151"/>
          <w:sz w:val="20"/>
          <w:szCs w:val="20"/>
        </w:rPr>
        <w:t xml:space="preserve">portfolioCapitalEfficiency(fields)</w:t>
      </w:r>
    </w:p>
    <w:p>
      <w:pPr>
        <w:spacing w:after="80" w:before="80"/>
      </w:pPr>
    </w:p>
    <w:p>
      <w:pPr>
        <w:pStyle w:val="Heading1"/>
        <w:shd w:fill="1E3A5F" w:color="1E3A5F" w:val="solid"/>
        <w:spacing w:after="180" w:before="360"/>
        <w:ind w:left="288" w:right="288"/>
        <w:rPr>
          <w:b/>
          <w:bCs/>
          <w:color w:val="FFFFFF"/>
          <w:sz w:val="36"/>
          <w:szCs w:val="36"/>
        </w:rPr>
      </w:pPr>
      <w:r>
        <w:t xml:space="preserve">12. ADNOC Field Reference Data</w:t>
      </w:r>
    </w:p>
    <w:p>
      <w:pPr>
        <w:spacing w:after="80" w:before="160"/>
      </w:pPr>
      <w:r>
        <w:rPr>
          <w:color w:val="374151"/>
          <w:sz w:val="20"/>
          <w:szCs w:val="20"/>
        </w:rPr>
        <w:t xml:space="preserve">The following table summarises the key engineering parameters for each of the nine ADNOC offshore fields modelled in the application.</w:t>
      </w:r>
    </w:p>
    <w:p>
      <w:pPr>
        <w:spacing w:after="80" w:before="80"/>
      </w:pPr>
    </w:p>
    <w:tbl>
      <w:tblPr>
        <w:tblW w:type="pct" w:w="100%"/>
        <w:tblBorders>
          <w:top w:val="single" w:color="1E3A5F" w:sz="2"/>
          <w:left w:val="single" w:color="D1D5DB" w:sz="1"/>
          <w:bottom w:val="single" w:color="1E3A5F" w:sz="2"/>
          <w:right w:val="single" w:color="D1D5DB" w:sz="1"/>
          <w:insideH w:val="single" w:color="D1D5DB" w:sz="1"/>
          <w:insideV w:val="single" w:color="D1D5DB" w:sz="1"/>
        </w:tblBorders>
      </w:tblPr>
      <w:tblGrid>
        <w:gridCol w:w="100"/>
        <w:gridCol w:w="100"/>
        <w:gridCol w:w="100"/>
        <w:gridCol w:w="100"/>
        <w:gridCol w:w="100"/>
        <w:gridCol w:w="100"/>
        <w:gridCol w:w="100"/>
        <w:gridCol w:w="100"/>
        <w:gridCol w:w="100"/>
      </w:tblGrid>
      <w:tr>
        <w:trPr>
          <w:tblHeader/>
        </w:trPr>
        <w:tc>
          <w:tcPr>
            <w:shd w:fill="1E3A5F" w:color="1E3A5F" w:val="solid"/>
            <w:tcMar>
              <w:top w:type="dxa" w:w="80"/>
              <w:left w:type="dxa" w:w="80"/>
              <w:bottom w:type="dxa" w:w="80"/>
              <w:right w:type="dxa" w:w="80"/>
            </w:tcMar>
          </w:tcPr>
          <w:p>
            <w:pPr>
              <w:jc w:val="center"/>
            </w:pPr>
            <w:r>
              <w:rPr>
                <w:b/>
                <w:bCs/>
                <w:color w:val="FFFFFF"/>
                <w:sz w:val="16"/>
                <w:szCs w:val="16"/>
              </w:rPr>
              <w:t xml:space="preserve">Field</w:t>
            </w:r>
          </w:p>
        </w:tc>
        <w:tc>
          <w:tcPr>
            <w:shd w:fill="1E3A5F" w:color="1E3A5F" w:val="solid"/>
            <w:tcMar>
              <w:top w:type="dxa" w:w="80"/>
              <w:left w:type="dxa" w:w="80"/>
              <w:bottom w:type="dxa" w:w="80"/>
              <w:right w:type="dxa" w:w="80"/>
            </w:tcMar>
          </w:tcPr>
          <w:p>
            <w:pPr>
              <w:jc w:val="center"/>
            </w:pPr>
            <w:r>
              <w:rPr>
                <w:b/>
                <w:bCs/>
                <w:color w:val="FFFFFF"/>
                <w:sz w:val="16"/>
                <w:szCs w:val="16"/>
              </w:rPr>
              <w:t xml:space="preserve">OOIP (MMbbl)</w:t>
            </w:r>
          </w:p>
        </w:tc>
        <w:tc>
          <w:tcPr>
            <w:shd w:fill="1E3A5F" w:color="1E3A5F" w:val="solid"/>
            <w:tcMar>
              <w:top w:type="dxa" w:w="80"/>
              <w:left w:type="dxa" w:w="80"/>
              <w:bottom w:type="dxa" w:w="80"/>
              <w:right w:type="dxa" w:w="80"/>
            </w:tcMar>
          </w:tcPr>
          <w:p>
            <w:pPr>
              <w:jc w:val="center"/>
            </w:pPr>
            <w:r>
              <w:rPr>
                <w:b/>
                <w:bCs/>
                <w:color w:val="FFFFFF"/>
                <w:sz w:val="16"/>
                <w:szCs w:val="16"/>
              </w:rPr>
              <w:t xml:space="preserve">RF%</w:t>
            </w:r>
          </w:p>
        </w:tc>
        <w:tc>
          <w:tcPr>
            <w:shd w:fill="1E3A5F" w:color="1E3A5F" w:val="solid"/>
            <w:tcMar>
              <w:top w:type="dxa" w:w="80"/>
              <w:left w:type="dxa" w:w="80"/>
              <w:bottom w:type="dxa" w:w="80"/>
              <w:right w:type="dxa" w:w="80"/>
            </w:tcMar>
          </w:tcPr>
          <w:p>
            <w:pPr>
              <w:jc w:val="center"/>
            </w:pPr>
            <w:r>
              <w:rPr>
                <w:b/>
                <w:bCs/>
                <w:color w:val="FFFFFF"/>
                <w:sz w:val="16"/>
                <w:szCs w:val="16"/>
              </w:rPr>
              <w:t xml:space="preserve">Di (/yr)</w:t>
            </w:r>
          </w:p>
        </w:tc>
        <w:tc>
          <w:tcPr>
            <w:shd w:fill="1E3A5F" w:color="1E3A5F" w:val="solid"/>
            <w:tcMar>
              <w:top w:type="dxa" w:w="80"/>
              <w:left w:type="dxa" w:w="80"/>
              <w:bottom w:type="dxa" w:w="80"/>
              <w:right w:type="dxa" w:w="80"/>
            </w:tcMar>
          </w:tcPr>
          <w:p>
            <w:pPr>
              <w:jc w:val="center"/>
            </w:pPr>
            <w:r>
              <w:rPr>
                <w:b/>
                <w:bCs/>
                <w:color w:val="FFFFFF"/>
                <w:sz w:val="16"/>
                <w:szCs w:val="16"/>
              </w:rPr>
              <w:t xml:space="preserve">b</w:t>
            </w:r>
          </w:p>
        </w:tc>
        <w:tc>
          <w:tcPr>
            <w:shd w:fill="1E3A5F" w:color="1E3A5F" w:val="solid"/>
            <w:tcMar>
              <w:top w:type="dxa" w:w="80"/>
              <w:left w:type="dxa" w:w="80"/>
              <w:bottom w:type="dxa" w:w="80"/>
              <w:right w:type="dxa" w:w="80"/>
            </w:tcMar>
          </w:tcPr>
          <w:p>
            <w:pPr>
              <w:jc w:val="center"/>
            </w:pPr>
            <w:r>
              <w:rPr>
                <w:b/>
                <w:bCs/>
                <w:color w:val="FFFFFF"/>
                <w:sz w:val="16"/>
                <w:szCs w:val="16"/>
              </w:rPr>
              <w:t xml:space="preserve">GOR (scf/bbl)</w:t>
            </w:r>
          </w:p>
        </w:tc>
        <w:tc>
          <w:tcPr>
            <w:shd w:fill="1E3A5F" w:color="1E3A5F" w:val="solid"/>
            <w:tcMar>
              <w:top w:type="dxa" w:w="80"/>
              <w:left w:type="dxa" w:w="80"/>
              <w:bottom w:type="dxa" w:w="80"/>
              <w:right w:type="dxa" w:w="80"/>
            </w:tcMar>
          </w:tcPr>
          <w:p>
            <w:pPr>
              <w:jc w:val="center"/>
            </w:pPr>
            <w:r>
              <w:rPr>
                <w:b/>
                <w:bCs/>
                <w:color w:val="FFFFFF"/>
                <w:sz w:val="16"/>
                <w:szCs w:val="16"/>
              </w:rPr>
              <w:t xml:space="preserve">OPEX ($/bbl)</w:t>
            </w:r>
          </w:p>
        </w:tc>
        <w:tc>
          <w:tcPr>
            <w:shd w:fill="1E3A5F" w:color="1E3A5F" w:val="solid"/>
            <w:tcMar>
              <w:top w:type="dxa" w:w="80"/>
              <w:left w:type="dxa" w:w="80"/>
              <w:bottom w:type="dxa" w:w="80"/>
              <w:right w:type="dxa" w:w="80"/>
            </w:tcMar>
          </w:tcPr>
          <w:p>
            <w:pPr>
              <w:jc w:val="center"/>
            </w:pPr>
            <w:r>
              <w:rPr>
                <w:b/>
                <w:bCs/>
                <w:color w:val="FFFFFF"/>
                <w:sz w:val="16"/>
                <w:szCs w:val="16"/>
              </w:rPr>
              <w:t xml:space="preserve">Field Life (yr)</w:t>
            </w:r>
          </w:p>
        </w:tc>
        <w:tc>
          <w:tcPr>
            <w:shd w:fill="1E3A5F" w:color="1E3A5F" w:val="solid"/>
            <w:tcMar>
              <w:top w:type="dxa" w:w="80"/>
              <w:left w:type="dxa" w:w="80"/>
              <w:bottom w:type="dxa" w:w="80"/>
              <w:right w:type="dxa" w:w="80"/>
            </w:tcMar>
          </w:tcPr>
          <w:p>
            <w:pPr>
              <w:jc w:val="center"/>
            </w:pPr>
            <w:r>
              <w:rPr>
                <w:b/>
                <w:bCs/>
                <w:color w:val="FFFFFF"/>
                <w:sz w:val="16"/>
                <w:szCs w:val="16"/>
              </w:rPr>
              <w:t xml:space="preserve">HM R²</w:t>
            </w:r>
          </w:p>
        </w:tc>
      </w:tr>
      <w:tr>
        <w:tc>
          <w:tcPr>
            <w:shd w:fill="FFFFFF" w:color="FFFFFF" w:val="solid"/>
            <w:tcMar>
              <w:top w:type="dxa" w:w="60"/>
              <w:left w:type="dxa" w:w="80"/>
              <w:bottom w:type="dxa" w:w="60"/>
              <w:right w:type="dxa" w:w="80"/>
            </w:tcMar>
          </w:tcPr>
          <w:p>
            <w:pPr>
              <w:jc w:val="left"/>
            </w:pPr>
            <w:r>
              <w:rPr>
                <w:color w:val="374151"/>
                <w:sz w:val="16"/>
                <w:szCs w:val="16"/>
              </w:rPr>
              <w:t xml:space="preserve">Upper Zakum</w:t>
            </w:r>
          </w:p>
        </w:tc>
        <w:tc>
          <w:tcPr>
            <w:shd w:fill="FFFFFF" w:color="FFFFFF" w:val="solid"/>
            <w:tcMar>
              <w:top w:type="dxa" w:w="60"/>
              <w:left w:type="dxa" w:w="80"/>
              <w:bottom w:type="dxa" w:w="60"/>
              <w:right w:type="dxa" w:w="80"/>
            </w:tcMar>
          </w:tcPr>
          <w:p>
            <w:pPr>
              <w:jc w:val="center"/>
            </w:pPr>
            <w:r>
              <w:rPr>
                <w:color w:val="374151"/>
                <w:sz w:val="16"/>
                <w:szCs w:val="16"/>
              </w:rPr>
              <w:t xml:space="preserve">21,000</w:t>
            </w:r>
          </w:p>
        </w:tc>
        <w:tc>
          <w:tcPr>
            <w:shd w:fill="FFFFFF" w:color="FFFFFF" w:val="solid"/>
            <w:tcMar>
              <w:top w:type="dxa" w:w="60"/>
              <w:left w:type="dxa" w:w="80"/>
              <w:bottom w:type="dxa" w:w="60"/>
              <w:right w:type="dxa" w:w="80"/>
            </w:tcMar>
          </w:tcPr>
          <w:p>
            <w:pPr>
              <w:jc w:val="center"/>
            </w:pPr>
            <w:r>
              <w:rPr>
                <w:color w:val="374151"/>
                <w:sz w:val="16"/>
                <w:szCs w:val="16"/>
              </w:rPr>
              <w:t xml:space="preserve">47%</w:t>
            </w:r>
          </w:p>
        </w:tc>
        <w:tc>
          <w:tcPr>
            <w:shd w:fill="FFFFFF" w:color="FFFFFF" w:val="solid"/>
            <w:tcMar>
              <w:top w:type="dxa" w:w="60"/>
              <w:left w:type="dxa" w:w="80"/>
              <w:bottom w:type="dxa" w:w="60"/>
              <w:right w:type="dxa" w:w="80"/>
            </w:tcMar>
          </w:tcPr>
          <w:p>
            <w:pPr>
              <w:jc w:val="center"/>
            </w:pPr>
            <w:r>
              <w:rPr>
                <w:color w:val="374151"/>
                <w:sz w:val="16"/>
                <w:szCs w:val="16"/>
              </w:rPr>
              <w:t xml:space="preserve">0.035</w:t>
            </w:r>
          </w:p>
        </w:tc>
        <w:tc>
          <w:tcPr>
            <w:shd w:fill="FFFFFF" w:color="FFFFFF" w:val="solid"/>
            <w:tcMar>
              <w:top w:type="dxa" w:w="60"/>
              <w:left w:type="dxa" w:w="80"/>
              <w:bottom w:type="dxa" w:w="60"/>
              <w:right w:type="dxa" w:w="80"/>
            </w:tcMar>
          </w:tcPr>
          <w:p>
            <w:pPr>
              <w:jc w:val="center"/>
            </w:pPr>
            <w:r>
              <w:rPr>
                <w:color w:val="374151"/>
                <w:sz w:val="16"/>
                <w:szCs w:val="16"/>
              </w:rPr>
              <w:t xml:space="preserve">0.45</w:t>
            </w:r>
          </w:p>
        </w:tc>
        <w:tc>
          <w:tcPr>
            <w:shd w:fill="FFFFFF" w:color="FFFFFF" w:val="solid"/>
            <w:tcMar>
              <w:top w:type="dxa" w:w="60"/>
              <w:left w:type="dxa" w:w="80"/>
              <w:bottom w:type="dxa" w:w="60"/>
              <w:right w:type="dxa" w:w="80"/>
            </w:tcMar>
          </w:tcPr>
          <w:p>
            <w:pPr>
              <w:jc w:val="center"/>
            </w:pPr>
            <w:r>
              <w:rPr>
                <w:color w:val="374151"/>
                <w:sz w:val="16"/>
                <w:szCs w:val="16"/>
              </w:rPr>
              <w:t xml:space="preserve">380</w:t>
            </w:r>
          </w:p>
        </w:tc>
        <w:tc>
          <w:tcPr>
            <w:shd w:fill="FFFFFF" w:color="FFFFFF" w:val="solid"/>
            <w:tcMar>
              <w:top w:type="dxa" w:w="60"/>
              <w:left w:type="dxa" w:w="80"/>
              <w:bottom w:type="dxa" w:w="60"/>
              <w:right w:type="dxa" w:w="80"/>
            </w:tcMar>
          </w:tcPr>
          <w:p>
            <w:pPr>
              <w:jc w:val="center"/>
            </w:pPr>
            <w:r>
              <w:rPr>
                <w:color w:val="374151"/>
                <w:sz w:val="16"/>
                <w:szCs w:val="16"/>
              </w:rPr>
              <w:t xml:space="preserve">$4.20</w:t>
            </w:r>
          </w:p>
        </w:tc>
        <w:tc>
          <w:tcPr>
            <w:shd w:fill="FFFFFF" w:color="FFFFFF" w:val="solid"/>
            <w:tcMar>
              <w:top w:type="dxa" w:w="60"/>
              <w:left w:type="dxa" w:w="80"/>
              <w:bottom w:type="dxa" w:w="60"/>
              <w:right w:type="dxa" w:w="80"/>
            </w:tcMar>
          </w:tcPr>
          <w:p>
            <w:pPr>
              <w:jc w:val="center"/>
            </w:pPr>
            <w:r>
              <w:rPr>
                <w:color w:val="374151"/>
                <w:sz w:val="16"/>
                <w:szCs w:val="16"/>
              </w:rPr>
              <w:t xml:space="preserve">25</w:t>
            </w:r>
          </w:p>
        </w:tc>
        <w:tc>
          <w:tcPr>
            <w:shd w:fill="FFFFFF" w:color="FFFFFF" w:val="solid"/>
            <w:tcMar>
              <w:top w:type="dxa" w:w="60"/>
              <w:left w:type="dxa" w:w="80"/>
              <w:bottom w:type="dxa" w:w="60"/>
              <w:right w:type="dxa" w:w="80"/>
            </w:tcMar>
          </w:tcPr>
          <w:p>
            <w:pPr>
              <w:jc w:val="center"/>
            </w:pPr>
            <w:r>
              <w:rPr>
                <w:color w:val="374151"/>
                <w:sz w:val="16"/>
                <w:szCs w:val="16"/>
              </w:rPr>
              <w:t xml:space="preserve">0.94</w:t>
            </w:r>
          </w:p>
        </w:tc>
      </w:tr>
      <w:tr>
        <w:tc>
          <w:tcPr>
            <w:shd w:fill="F3F4F6" w:color="F3F4F6" w:val="solid"/>
            <w:tcMar>
              <w:top w:type="dxa" w:w="60"/>
              <w:left w:type="dxa" w:w="80"/>
              <w:bottom w:type="dxa" w:w="60"/>
              <w:right w:type="dxa" w:w="80"/>
            </w:tcMar>
          </w:tcPr>
          <w:p>
            <w:pPr>
              <w:jc w:val="left"/>
            </w:pPr>
            <w:r>
              <w:rPr>
                <w:color w:val="374151"/>
                <w:sz w:val="16"/>
                <w:szCs w:val="16"/>
              </w:rPr>
              <w:t xml:space="preserve">Lower Zakum</w:t>
            </w:r>
          </w:p>
        </w:tc>
        <w:tc>
          <w:tcPr>
            <w:shd w:fill="F3F4F6" w:color="F3F4F6" w:val="solid"/>
            <w:tcMar>
              <w:top w:type="dxa" w:w="60"/>
              <w:left w:type="dxa" w:w="80"/>
              <w:bottom w:type="dxa" w:w="60"/>
              <w:right w:type="dxa" w:w="80"/>
            </w:tcMar>
          </w:tcPr>
          <w:p>
            <w:pPr>
              <w:jc w:val="center"/>
            </w:pPr>
            <w:r>
              <w:rPr>
                <w:color w:val="374151"/>
                <w:sz w:val="16"/>
                <w:szCs w:val="16"/>
              </w:rPr>
              <w:t xml:space="preserve">8,500</w:t>
            </w:r>
          </w:p>
        </w:tc>
        <w:tc>
          <w:tcPr>
            <w:shd w:fill="F3F4F6" w:color="F3F4F6" w:val="solid"/>
            <w:tcMar>
              <w:top w:type="dxa" w:w="60"/>
              <w:left w:type="dxa" w:w="80"/>
              <w:bottom w:type="dxa" w:w="60"/>
              <w:right w:type="dxa" w:w="80"/>
            </w:tcMar>
          </w:tcPr>
          <w:p>
            <w:pPr>
              <w:jc w:val="center"/>
            </w:pPr>
            <w:r>
              <w:rPr>
                <w:color w:val="374151"/>
                <w:sz w:val="16"/>
                <w:szCs w:val="16"/>
              </w:rPr>
              <w:t xml:space="preserve">38%</w:t>
            </w:r>
          </w:p>
        </w:tc>
        <w:tc>
          <w:tcPr>
            <w:shd w:fill="F3F4F6" w:color="F3F4F6" w:val="solid"/>
            <w:tcMar>
              <w:top w:type="dxa" w:w="60"/>
              <w:left w:type="dxa" w:w="80"/>
              <w:bottom w:type="dxa" w:w="60"/>
              <w:right w:type="dxa" w:w="80"/>
            </w:tcMar>
          </w:tcPr>
          <w:p>
            <w:pPr>
              <w:jc w:val="center"/>
            </w:pPr>
            <w:r>
              <w:rPr>
                <w:color w:val="374151"/>
                <w:sz w:val="16"/>
                <w:szCs w:val="16"/>
              </w:rPr>
              <w:t xml:space="preserve">0.040</w:t>
            </w:r>
          </w:p>
        </w:tc>
        <w:tc>
          <w:tcPr>
            <w:shd w:fill="F3F4F6" w:color="F3F4F6" w:val="solid"/>
            <w:tcMar>
              <w:top w:type="dxa" w:w="60"/>
              <w:left w:type="dxa" w:w="80"/>
              <w:bottom w:type="dxa" w:w="60"/>
              <w:right w:type="dxa" w:w="80"/>
            </w:tcMar>
          </w:tcPr>
          <w:p>
            <w:pPr>
              <w:jc w:val="center"/>
            </w:pPr>
            <w:r>
              <w:rPr>
                <w:color w:val="374151"/>
                <w:sz w:val="16"/>
                <w:szCs w:val="16"/>
              </w:rPr>
              <w:t xml:space="preserve">0.40</w:t>
            </w:r>
          </w:p>
        </w:tc>
        <w:tc>
          <w:tcPr>
            <w:shd w:fill="F3F4F6" w:color="F3F4F6" w:val="solid"/>
            <w:tcMar>
              <w:top w:type="dxa" w:w="60"/>
              <w:left w:type="dxa" w:w="80"/>
              <w:bottom w:type="dxa" w:w="60"/>
              <w:right w:type="dxa" w:w="80"/>
            </w:tcMar>
          </w:tcPr>
          <w:p>
            <w:pPr>
              <w:jc w:val="center"/>
            </w:pPr>
            <w:r>
              <w:rPr>
                <w:color w:val="374151"/>
                <w:sz w:val="16"/>
                <w:szCs w:val="16"/>
              </w:rPr>
              <w:t xml:space="preserve">350</w:t>
            </w:r>
          </w:p>
        </w:tc>
        <w:tc>
          <w:tcPr>
            <w:shd w:fill="F3F4F6" w:color="F3F4F6" w:val="solid"/>
            <w:tcMar>
              <w:top w:type="dxa" w:w="60"/>
              <w:left w:type="dxa" w:w="80"/>
              <w:bottom w:type="dxa" w:w="60"/>
              <w:right w:type="dxa" w:w="80"/>
            </w:tcMar>
          </w:tcPr>
          <w:p>
            <w:pPr>
              <w:jc w:val="center"/>
            </w:pPr>
            <w:r>
              <w:rPr>
                <w:color w:val="374151"/>
                <w:sz w:val="16"/>
                <w:szCs w:val="16"/>
              </w:rPr>
              <w:t xml:space="preserve">$4.80</w:t>
            </w:r>
          </w:p>
        </w:tc>
        <w:tc>
          <w:tcPr>
            <w:shd w:fill="F3F4F6" w:color="F3F4F6" w:val="solid"/>
            <w:tcMar>
              <w:top w:type="dxa" w:w="60"/>
              <w:left w:type="dxa" w:w="80"/>
              <w:bottom w:type="dxa" w:w="60"/>
              <w:right w:type="dxa" w:w="80"/>
            </w:tcMar>
          </w:tcPr>
          <w:p>
            <w:pPr>
              <w:jc w:val="center"/>
            </w:pPr>
            <w:r>
              <w:rPr>
                <w:color w:val="374151"/>
                <w:sz w:val="16"/>
                <w:szCs w:val="16"/>
              </w:rPr>
              <w:t xml:space="preserve">22</w:t>
            </w:r>
          </w:p>
        </w:tc>
        <w:tc>
          <w:tcPr>
            <w:shd w:fill="F3F4F6" w:color="F3F4F6" w:val="solid"/>
            <w:tcMar>
              <w:top w:type="dxa" w:w="60"/>
              <w:left w:type="dxa" w:w="80"/>
              <w:bottom w:type="dxa" w:w="60"/>
              <w:right w:type="dxa" w:w="80"/>
            </w:tcMar>
          </w:tcPr>
          <w:p>
            <w:pPr>
              <w:jc w:val="center"/>
            </w:pPr>
            <w:r>
              <w:rPr>
                <w:color w:val="374151"/>
                <w:sz w:val="16"/>
                <w:szCs w:val="16"/>
              </w:rPr>
              <w:t xml:space="preserve">0.92</w:t>
            </w:r>
          </w:p>
        </w:tc>
      </w:tr>
      <w:tr>
        <w:tc>
          <w:tcPr>
            <w:shd w:fill="FFFFFF" w:color="FFFFFF" w:val="solid"/>
            <w:tcMar>
              <w:top w:type="dxa" w:w="60"/>
              <w:left w:type="dxa" w:w="80"/>
              <w:bottom w:type="dxa" w:w="60"/>
              <w:right w:type="dxa" w:w="80"/>
            </w:tcMar>
          </w:tcPr>
          <w:p>
            <w:pPr>
              <w:jc w:val="left"/>
            </w:pPr>
            <w:r>
              <w:rPr>
                <w:color w:val="374151"/>
                <w:sz w:val="16"/>
                <w:szCs w:val="16"/>
              </w:rPr>
              <w:t xml:space="preserve">Umm Shaif</w:t>
            </w:r>
          </w:p>
        </w:tc>
        <w:tc>
          <w:tcPr>
            <w:shd w:fill="FFFFFF" w:color="FFFFFF" w:val="solid"/>
            <w:tcMar>
              <w:top w:type="dxa" w:w="60"/>
              <w:left w:type="dxa" w:w="80"/>
              <w:bottom w:type="dxa" w:w="60"/>
              <w:right w:type="dxa" w:w="80"/>
            </w:tcMar>
          </w:tcPr>
          <w:p>
            <w:pPr>
              <w:jc w:val="center"/>
            </w:pPr>
            <w:r>
              <w:rPr>
                <w:color w:val="374151"/>
                <w:sz w:val="16"/>
                <w:szCs w:val="16"/>
              </w:rPr>
              <w:t xml:space="preserve">6,200</w:t>
            </w:r>
          </w:p>
        </w:tc>
        <w:tc>
          <w:tcPr>
            <w:shd w:fill="FFFFFF" w:color="FFFFFF" w:val="solid"/>
            <w:tcMar>
              <w:top w:type="dxa" w:w="60"/>
              <w:left w:type="dxa" w:w="80"/>
              <w:bottom w:type="dxa" w:w="60"/>
              <w:right w:type="dxa" w:w="80"/>
            </w:tcMar>
          </w:tcPr>
          <w:p>
            <w:pPr>
              <w:jc w:val="center"/>
            </w:pPr>
            <w:r>
              <w:rPr>
                <w:color w:val="374151"/>
                <w:sz w:val="16"/>
                <w:szCs w:val="16"/>
              </w:rPr>
              <w:t xml:space="preserve">44%</w:t>
            </w:r>
          </w:p>
        </w:tc>
        <w:tc>
          <w:tcPr>
            <w:shd w:fill="FFFFFF" w:color="FFFFFF" w:val="solid"/>
            <w:tcMar>
              <w:top w:type="dxa" w:w="60"/>
              <w:left w:type="dxa" w:w="80"/>
              <w:bottom w:type="dxa" w:w="60"/>
              <w:right w:type="dxa" w:w="80"/>
            </w:tcMar>
          </w:tcPr>
          <w:p>
            <w:pPr>
              <w:jc w:val="center"/>
            </w:pPr>
            <w:r>
              <w:rPr>
                <w:color w:val="374151"/>
                <w:sz w:val="16"/>
                <w:szCs w:val="16"/>
              </w:rPr>
              <w:t xml:space="preserve">0.038</w:t>
            </w:r>
          </w:p>
        </w:tc>
        <w:tc>
          <w:tcPr>
            <w:shd w:fill="FFFFFF" w:color="FFFFFF" w:val="solid"/>
            <w:tcMar>
              <w:top w:type="dxa" w:w="60"/>
              <w:left w:type="dxa" w:w="80"/>
              <w:bottom w:type="dxa" w:w="60"/>
              <w:right w:type="dxa" w:w="80"/>
            </w:tcMar>
          </w:tcPr>
          <w:p>
            <w:pPr>
              <w:jc w:val="center"/>
            </w:pPr>
            <w:r>
              <w:rPr>
                <w:color w:val="374151"/>
                <w:sz w:val="16"/>
                <w:szCs w:val="16"/>
              </w:rPr>
              <w:t xml:space="preserve">0.42</w:t>
            </w:r>
          </w:p>
        </w:tc>
        <w:tc>
          <w:tcPr>
            <w:shd w:fill="FFFFFF" w:color="FFFFFF" w:val="solid"/>
            <w:tcMar>
              <w:top w:type="dxa" w:w="60"/>
              <w:left w:type="dxa" w:w="80"/>
              <w:bottom w:type="dxa" w:w="60"/>
              <w:right w:type="dxa" w:w="80"/>
            </w:tcMar>
          </w:tcPr>
          <w:p>
            <w:pPr>
              <w:jc w:val="center"/>
            </w:pPr>
            <w:r>
              <w:rPr>
                <w:color w:val="374151"/>
                <w:sz w:val="16"/>
                <w:szCs w:val="16"/>
              </w:rPr>
              <w:t xml:space="preserve">420</w:t>
            </w:r>
          </w:p>
        </w:tc>
        <w:tc>
          <w:tcPr>
            <w:shd w:fill="FFFFFF" w:color="FFFFFF" w:val="solid"/>
            <w:tcMar>
              <w:top w:type="dxa" w:w="60"/>
              <w:left w:type="dxa" w:w="80"/>
              <w:bottom w:type="dxa" w:w="60"/>
              <w:right w:type="dxa" w:w="80"/>
            </w:tcMar>
          </w:tcPr>
          <w:p>
            <w:pPr>
              <w:jc w:val="center"/>
            </w:pPr>
            <w:r>
              <w:rPr>
                <w:color w:val="374151"/>
                <w:sz w:val="16"/>
                <w:szCs w:val="16"/>
              </w:rPr>
              <w:t xml:space="preserve">$5.10</w:t>
            </w:r>
          </w:p>
        </w:tc>
        <w:tc>
          <w:tcPr>
            <w:shd w:fill="FFFFFF" w:color="FFFFFF" w:val="solid"/>
            <w:tcMar>
              <w:top w:type="dxa" w:w="60"/>
              <w:left w:type="dxa" w:w="80"/>
              <w:bottom w:type="dxa" w:w="60"/>
              <w:right w:type="dxa" w:w="80"/>
            </w:tcMar>
          </w:tcPr>
          <w:p>
            <w:pPr>
              <w:jc w:val="center"/>
            </w:pPr>
            <w:r>
              <w:rPr>
                <w:color w:val="374151"/>
                <w:sz w:val="16"/>
                <w:szCs w:val="16"/>
              </w:rPr>
              <w:t xml:space="preserve">18</w:t>
            </w:r>
          </w:p>
        </w:tc>
        <w:tc>
          <w:tcPr>
            <w:shd w:fill="FFFFFF" w:color="FFFFFF" w:val="solid"/>
            <w:tcMar>
              <w:top w:type="dxa" w:w="60"/>
              <w:left w:type="dxa" w:w="80"/>
              <w:bottom w:type="dxa" w:w="60"/>
              <w:right w:type="dxa" w:w="80"/>
            </w:tcMar>
          </w:tcPr>
          <w:p>
            <w:pPr>
              <w:jc w:val="center"/>
            </w:pPr>
            <w:r>
              <w:rPr>
                <w:color w:val="374151"/>
                <w:sz w:val="16"/>
                <w:szCs w:val="16"/>
              </w:rPr>
              <w:t xml:space="preserve">0.95</w:t>
            </w:r>
          </w:p>
        </w:tc>
      </w:tr>
      <w:tr>
        <w:tc>
          <w:tcPr>
            <w:shd w:fill="F3F4F6" w:color="F3F4F6" w:val="solid"/>
            <w:tcMar>
              <w:top w:type="dxa" w:w="60"/>
              <w:left w:type="dxa" w:w="80"/>
              <w:bottom w:type="dxa" w:w="60"/>
              <w:right w:type="dxa" w:w="80"/>
            </w:tcMar>
          </w:tcPr>
          <w:p>
            <w:pPr>
              <w:jc w:val="left"/>
            </w:pPr>
            <w:r>
              <w:rPr>
                <w:color w:val="374151"/>
                <w:sz w:val="16"/>
                <w:szCs w:val="16"/>
              </w:rPr>
              <w:t xml:space="preserve">Satah</w:t>
            </w:r>
          </w:p>
        </w:tc>
        <w:tc>
          <w:tcPr>
            <w:shd w:fill="F3F4F6" w:color="F3F4F6" w:val="solid"/>
            <w:tcMar>
              <w:top w:type="dxa" w:w="60"/>
              <w:left w:type="dxa" w:w="80"/>
              <w:bottom w:type="dxa" w:w="60"/>
              <w:right w:type="dxa" w:w="80"/>
            </w:tcMar>
          </w:tcPr>
          <w:p>
            <w:pPr>
              <w:jc w:val="center"/>
            </w:pPr>
            <w:r>
              <w:rPr>
                <w:color w:val="374151"/>
                <w:sz w:val="16"/>
                <w:szCs w:val="16"/>
              </w:rPr>
              <w:t xml:space="preserve">2,800</w:t>
            </w:r>
          </w:p>
        </w:tc>
        <w:tc>
          <w:tcPr>
            <w:shd w:fill="F3F4F6" w:color="F3F4F6" w:val="solid"/>
            <w:tcMar>
              <w:top w:type="dxa" w:w="60"/>
              <w:left w:type="dxa" w:w="80"/>
              <w:bottom w:type="dxa" w:w="60"/>
              <w:right w:type="dxa" w:w="80"/>
            </w:tcMar>
          </w:tcPr>
          <w:p>
            <w:pPr>
              <w:jc w:val="center"/>
            </w:pPr>
            <w:r>
              <w:rPr>
                <w:color w:val="374151"/>
                <w:sz w:val="16"/>
                <w:szCs w:val="16"/>
              </w:rPr>
              <w:t xml:space="preserve">38%</w:t>
            </w:r>
          </w:p>
        </w:tc>
        <w:tc>
          <w:tcPr>
            <w:shd w:fill="F3F4F6" w:color="F3F4F6" w:val="solid"/>
            <w:tcMar>
              <w:top w:type="dxa" w:w="60"/>
              <w:left w:type="dxa" w:w="80"/>
              <w:bottom w:type="dxa" w:w="60"/>
              <w:right w:type="dxa" w:w="80"/>
            </w:tcMar>
          </w:tcPr>
          <w:p>
            <w:pPr>
              <w:jc w:val="center"/>
            </w:pPr>
            <w:r>
              <w:rPr>
                <w:color w:val="374151"/>
                <w:sz w:val="16"/>
                <w:szCs w:val="16"/>
              </w:rPr>
              <w:t xml:space="preserve">0.045</w:t>
            </w:r>
          </w:p>
        </w:tc>
        <w:tc>
          <w:tcPr>
            <w:shd w:fill="F3F4F6" w:color="F3F4F6" w:val="solid"/>
            <w:tcMar>
              <w:top w:type="dxa" w:w="60"/>
              <w:left w:type="dxa" w:w="80"/>
              <w:bottom w:type="dxa" w:w="60"/>
              <w:right w:type="dxa" w:w="80"/>
            </w:tcMar>
          </w:tcPr>
          <w:p>
            <w:pPr>
              <w:jc w:val="center"/>
            </w:pPr>
            <w:r>
              <w:rPr>
                <w:color w:val="374151"/>
                <w:sz w:val="16"/>
                <w:szCs w:val="16"/>
              </w:rPr>
              <w:t xml:space="preserve">0.38</w:t>
            </w:r>
          </w:p>
        </w:tc>
        <w:tc>
          <w:tcPr>
            <w:shd w:fill="F3F4F6" w:color="F3F4F6" w:val="solid"/>
            <w:tcMar>
              <w:top w:type="dxa" w:w="60"/>
              <w:left w:type="dxa" w:w="80"/>
              <w:bottom w:type="dxa" w:w="60"/>
              <w:right w:type="dxa" w:w="80"/>
            </w:tcMar>
          </w:tcPr>
          <w:p>
            <w:pPr>
              <w:jc w:val="center"/>
            </w:pPr>
            <w:r>
              <w:rPr>
                <w:color w:val="374151"/>
                <w:sz w:val="16"/>
                <w:szCs w:val="16"/>
              </w:rPr>
              <w:t xml:space="preserve">300</w:t>
            </w:r>
          </w:p>
        </w:tc>
        <w:tc>
          <w:tcPr>
            <w:shd w:fill="F3F4F6" w:color="F3F4F6" w:val="solid"/>
            <w:tcMar>
              <w:top w:type="dxa" w:w="60"/>
              <w:left w:type="dxa" w:w="80"/>
              <w:bottom w:type="dxa" w:w="60"/>
              <w:right w:type="dxa" w:w="80"/>
            </w:tcMar>
          </w:tcPr>
          <w:p>
            <w:pPr>
              <w:jc w:val="center"/>
            </w:pPr>
            <w:r>
              <w:rPr>
                <w:color w:val="374151"/>
                <w:sz w:val="16"/>
                <w:szCs w:val="16"/>
              </w:rPr>
              <w:t xml:space="preserve">$6.20</w:t>
            </w:r>
          </w:p>
        </w:tc>
        <w:tc>
          <w:tcPr>
            <w:shd w:fill="F3F4F6" w:color="F3F4F6" w:val="solid"/>
            <w:tcMar>
              <w:top w:type="dxa" w:w="60"/>
              <w:left w:type="dxa" w:w="80"/>
              <w:bottom w:type="dxa" w:w="60"/>
              <w:right w:type="dxa" w:w="80"/>
            </w:tcMar>
          </w:tcPr>
          <w:p>
            <w:pPr>
              <w:jc w:val="center"/>
            </w:pPr>
            <w:r>
              <w:rPr>
                <w:color w:val="374151"/>
                <w:sz w:val="16"/>
                <w:szCs w:val="16"/>
              </w:rPr>
              <w:t xml:space="preserve">15</w:t>
            </w:r>
          </w:p>
        </w:tc>
        <w:tc>
          <w:tcPr>
            <w:shd w:fill="F3F4F6" w:color="F3F4F6" w:val="solid"/>
            <w:tcMar>
              <w:top w:type="dxa" w:w="60"/>
              <w:left w:type="dxa" w:w="80"/>
              <w:bottom w:type="dxa" w:w="60"/>
              <w:right w:type="dxa" w:w="80"/>
            </w:tcMar>
          </w:tcPr>
          <w:p>
            <w:pPr>
              <w:jc w:val="center"/>
            </w:pPr>
            <w:r>
              <w:rPr>
                <w:color w:val="374151"/>
                <w:sz w:val="16"/>
                <w:szCs w:val="16"/>
              </w:rPr>
              <w:t xml:space="preserve">0.91</w:t>
            </w:r>
          </w:p>
        </w:tc>
      </w:tr>
      <w:tr>
        <w:tc>
          <w:tcPr>
            <w:shd w:fill="FFFFFF" w:color="FFFFFF" w:val="solid"/>
            <w:tcMar>
              <w:top w:type="dxa" w:w="60"/>
              <w:left w:type="dxa" w:w="80"/>
              <w:bottom w:type="dxa" w:w="60"/>
              <w:right w:type="dxa" w:w="80"/>
            </w:tcMar>
          </w:tcPr>
          <w:p>
            <w:pPr>
              <w:jc w:val="left"/>
            </w:pPr>
            <w:r>
              <w:rPr>
                <w:color w:val="374151"/>
                <w:sz w:val="16"/>
                <w:szCs w:val="16"/>
              </w:rPr>
              <w:t xml:space="preserve">Nasr</w:t>
            </w:r>
          </w:p>
        </w:tc>
        <w:tc>
          <w:tcPr>
            <w:shd w:fill="FFFFFF" w:color="FFFFFF" w:val="solid"/>
            <w:tcMar>
              <w:top w:type="dxa" w:w="60"/>
              <w:left w:type="dxa" w:w="80"/>
              <w:bottom w:type="dxa" w:w="60"/>
              <w:right w:type="dxa" w:w="80"/>
            </w:tcMar>
          </w:tcPr>
          <w:p>
            <w:pPr>
              <w:jc w:val="center"/>
            </w:pPr>
            <w:r>
              <w:rPr>
                <w:color w:val="374151"/>
                <w:sz w:val="16"/>
                <w:szCs w:val="16"/>
              </w:rPr>
              <w:t xml:space="preserve">1,900</w:t>
            </w:r>
          </w:p>
        </w:tc>
        <w:tc>
          <w:tcPr>
            <w:shd w:fill="FFFFFF" w:color="FFFFFF" w:val="solid"/>
            <w:tcMar>
              <w:top w:type="dxa" w:w="60"/>
              <w:left w:type="dxa" w:w="80"/>
              <w:bottom w:type="dxa" w:w="60"/>
              <w:right w:type="dxa" w:w="80"/>
            </w:tcMar>
          </w:tcPr>
          <w:p>
            <w:pPr>
              <w:jc w:val="center"/>
            </w:pPr>
            <w:r>
              <w:rPr>
                <w:color w:val="374151"/>
                <w:sz w:val="16"/>
                <w:szCs w:val="16"/>
              </w:rPr>
              <w:t xml:space="preserve">28%</w:t>
            </w:r>
          </w:p>
        </w:tc>
        <w:tc>
          <w:tcPr>
            <w:shd w:fill="FFFFFF" w:color="FFFFFF" w:val="solid"/>
            <w:tcMar>
              <w:top w:type="dxa" w:w="60"/>
              <w:left w:type="dxa" w:w="80"/>
              <w:bottom w:type="dxa" w:w="60"/>
              <w:right w:type="dxa" w:w="80"/>
            </w:tcMar>
          </w:tcPr>
          <w:p>
            <w:pPr>
              <w:jc w:val="center"/>
            </w:pPr>
            <w:r>
              <w:rPr>
                <w:color w:val="374151"/>
                <w:sz w:val="16"/>
                <w:szCs w:val="16"/>
              </w:rPr>
              <w:t xml:space="preserve">0.052</w:t>
            </w:r>
          </w:p>
        </w:tc>
        <w:tc>
          <w:tcPr>
            <w:shd w:fill="FFFFFF" w:color="FFFFFF" w:val="solid"/>
            <w:tcMar>
              <w:top w:type="dxa" w:w="60"/>
              <w:left w:type="dxa" w:w="80"/>
              <w:bottom w:type="dxa" w:w="60"/>
              <w:right w:type="dxa" w:w="80"/>
            </w:tcMar>
          </w:tcPr>
          <w:p>
            <w:pPr>
              <w:jc w:val="center"/>
            </w:pPr>
            <w:r>
              <w:rPr>
                <w:color w:val="374151"/>
                <w:sz w:val="16"/>
                <w:szCs w:val="16"/>
              </w:rPr>
              <w:t xml:space="preserve">0.35</w:t>
            </w:r>
          </w:p>
        </w:tc>
        <w:tc>
          <w:tcPr>
            <w:shd w:fill="FFFFFF" w:color="FFFFFF" w:val="solid"/>
            <w:tcMar>
              <w:top w:type="dxa" w:w="60"/>
              <w:left w:type="dxa" w:w="80"/>
              <w:bottom w:type="dxa" w:w="60"/>
              <w:right w:type="dxa" w:w="80"/>
            </w:tcMar>
          </w:tcPr>
          <w:p>
            <w:pPr>
              <w:jc w:val="center"/>
            </w:pPr>
            <w:r>
              <w:rPr>
                <w:color w:val="374151"/>
                <w:sz w:val="16"/>
                <w:szCs w:val="16"/>
              </w:rPr>
              <w:t xml:space="preserve">260</w:t>
            </w:r>
          </w:p>
        </w:tc>
        <w:tc>
          <w:tcPr>
            <w:shd w:fill="FFFFFF" w:color="FFFFFF" w:val="solid"/>
            <w:tcMar>
              <w:top w:type="dxa" w:w="60"/>
              <w:left w:type="dxa" w:w="80"/>
              <w:bottom w:type="dxa" w:w="60"/>
              <w:right w:type="dxa" w:w="80"/>
            </w:tcMar>
          </w:tcPr>
          <w:p>
            <w:pPr>
              <w:jc w:val="center"/>
            </w:pPr>
            <w:r>
              <w:rPr>
                <w:color w:val="374151"/>
                <w:sz w:val="16"/>
                <w:szCs w:val="16"/>
              </w:rPr>
              <w:t xml:space="preserve">$7.50</w:t>
            </w:r>
          </w:p>
        </w:tc>
        <w:tc>
          <w:tcPr>
            <w:shd w:fill="FFFFFF" w:color="FFFFFF" w:val="solid"/>
            <w:tcMar>
              <w:top w:type="dxa" w:w="60"/>
              <w:left w:type="dxa" w:w="80"/>
              <w:bottom w:type="dxa" w:w="60"/>
              <w:right w:type="dxa" w:w="80"/>
            </w:tcMar>
          </w:tcPr>
          <w:p>
            <w:pPr>
              <w:jc w:val="center"/>
            </w:pPr>
            <w:r>
              <w:rPr>
                <w:color w:val="374151"/>
                <w:sz w:val="16"/>
                <w:szCs w:val="16"/>
              </w:rPr>
              <w:t xml:space="preserve">20</w:t>
            </w:r>
          </w:p>
        </w:tc>
        <w:tc>
          <w:tcPr>
            <w:shd w:fill="FFFFFF" w:color="FFFFFF" w:val="solid"/>
            <w:tcMar>
              <w:top w:type="dxa" w:w="60"/>
              <w:left w:type="dxa" w:w="80"/>
              <w:bottom w:type="dxa" w:w="60"/>
              <w:right w:type="dxa" w:w="80"/>
            </w:tcMar>
          </w:tcPr>
          <w:p>
            <w:pPr>
              <w:jc w:val="center"/>
            </w:pPr>
            <w:r>
              <w:rPr>
                <w:color w:val="374151"/>
                <w:sz w:val="16"/>
                <w:szCs w:val="16"/>
              </w:rPr>
              <w:t xml:space="preserve">0.88</w:t>
            </w:r>
          </w:p>
        </w:tc>
      </w:tr>
      <w:tr>
        <w:tc>
          <w:tcPr>
            <w:shd w:fill="F3F4F6" w:color="F3F4F6" w:val="solid"/>
            <w:tcMar>
              <w:top w:type="dxa" w:w="60"/>
              <w:left w:type="dxa" w:w="80"/>
              <w:bottom w:type="dxa" w:w="60"/>
              <w:right w:type="dxa" w:w="80"/>
            </w:tcMar>
          </w:tcPr>
          <w:p>
            <w:pPr>
              <w:jc w:val="left"/>
            </w:pPr>
            <w:r>
              <w:rPr>
                <w:color w:val="374151"/>
                <w:sz w:val="16"/>
                <w:szCs w:val="16"/>
              </w:rPr>
              <w:t xml:space="preserve">Umm Al Dalkh</w:t>
            </w:r>
          </w:p>
        </w:tc>
        <w:tc>
          <w:tcPr>
            <w:shd w:fill="F3F4F6" w:color="F3F4F6" w:val="solid"/>
            <w:tcMar>
              <w:top w:type="dxa" w:w="60"/>
              <w:left w:type="dxa" w:w="80"/>
              <w:bottom w:type="dxa" w:w="60"/>
              <w:right w:type="dxa" w:w="80"/>
            </w:tcMar>
          </w:tcPr>
          <w:p>
            <w:pPr>
              <w:jc w:val="center"/>
            </w:pPr>
            <w:r>
              <w:rPr>
                <w:color w:val="374151"/>
                <w:sz w:val="16"/>
                <w:szCs w:val="16"/>
              </w:rPr>
              <w:t xml:space="preserve">1,600</w:t>
            </w:r>
          </w:p>
        </w:tc>
        <w:tc>
          <w:tcPr>
            <w:shd w:fill="F3F4F6" w:color="F3F4F6" w:val="solid"/>
            <w:tcMar>
              <w:top w:type="dxa" w:w="60"/>
              <w:left w:type="dxa" w:w="80"/>
              <w:bottom w:type="dxa" w:w="60"/>
              <w:right w:type="dxa" w:w="80"/>
            </w:tcMar>
          </w:tcPr>
          <w:p>
            <w:pPr>
              <w:jc w:val="center"/>
            </w:pPr>
            <w:r>
              <w:rPr>
                <w:color w:val="374151"/>
                <w:sz w:val="16"/>
                <w:szCs w:val="16"/>
              </w:rPr>
              <w:t xml:space="preserve">26%</w:t>
            </w:r>
          </w:p>
        </w:tc>
        <w:tc>
          <w:tcPr>
            <w:shd w:fill="F3F4F6" w:color="F3F4F6" w:val="solid"/>
            <w:tcMar>
              <w:top w:type="dxa" w:w="60"/>
              <w:left w:type="dxa" w:w="80"/>
              <w:bottom w:type="dxa" w:w="60"/>
              <w:right w:type="dxa" w:w="80"/>
            </w:tcMar>
          </w:tcPr>
          <w:p>
            <w:pPr>
              <w:jc w:val="center"/>
            </w:pPr>
            <w:r>
              <w:rPr>
                <w:color w:val="374151"/>
                <w:sz w:val="16"/>
                <w:szCs w:val="16"/>
              </w:rPr>
              <w:t xml:space="preserve">0.055</w:t>
            </w:r>
          </w:p>
        </w:tc>
        <w:tc>
          <w:tcPr>
            <w:shd w:fill="F3F4F6" w:color="F3F4F6" w:val="solid"/>
            <w:tcMar>
              <w:top w:type="dxa" w:w="60"/>
              <w:left w:type="dxa" w:w="80"/>
              <w:bottom w:type="dxa" w:w="60"/>
              <w:right w:type="dxa" w:w="80"/>
            </w:tcMar>
          </w:tcPr>
          <w:p>
            <w:pPr>
              <w:jc w:val="center"/>
            </w:pPr>
            <w:r>
              <w:rPr>
                <w:color w:val="374151"/>
                <w:sz w:val="16"/>
                <w:szCs w:val="16"/>
              </w:rPr>
              <w:t xml:space="preserve">0.32</w:t>
            </w:r>
          </w:p>
        </w:tc>
        <w:tc>
          <w:tcPr>
            <w:shd w:fill="F3F4F6" w:color="F3F4F6" w:val="solid"/>
            <w:tcMar>
              <w:top w:type="dxa" w:w="60"/>
              <w:left w:type="dxa" w:w="80"/>
              <w:bottom w:type="dxa" w:w="60"/>
              <w:right w:type="dxa" w:w="80"/>
            </w:tcMar>
          </w:tcPr>
          <w:p>
            <w:pPr>
              <w:jc w:val="center"/>
            </w:pPr>
            <w:r>
              <w:rPr>
                <w:color w:val="374151"/>
                <w:sz w:val="16"/>
                <w:szCs w:val="16"/>
              </w:rPr>
              <w:t xml:space="preserve">240</w:t>
            </w:r>
          </w:p>
        </w:tc>
        <w:tc>
          <w:tcPr>
            <w:shd w:fill="F3F4F6" w:color="F3F4F6" w:val="solid"/>
            <w:tcMar>
              <w:top w:type="dxa" w:w="60"/>
              <w:left w:type="dxa" w:w="80"/>
              <w:bottom w:type="dxa" w:w="60"/>
              <w:right w:type="dxa" w:w="80"/>
            </w:tcMar>
          </w:tcPr>
          <w:p>
            <w:pPr>
              <w:jc w:val="center"/>
            </w:pPr>
            <w:r>
              <w:rPr>
                <w:color w:val="374151"/>
                <w:sz w:val="16"/>
                <w:szCs w:val="16"/>
              </w:rPr>
              <w:t xml:space="preserve">$8.20</w:t>
            </w:r>
          </w:p>
        </w:tc>
        <w:tc>
          <w:tcPr>
            <w:shd w:fill="F3F4F6" w:color="F3F4F6" w:val="solid"/>
            <w:tcMar>
              <w:top w:type="dxa" w:w="60"/>
              <w:left w:type="dxa" w:w="80"/>
              <w:bottom w:type="dxa" w:w="60"/>
              <w:right w:type="dxa" w:w="80"/>
            </w:tcMar>
          </w:tcPr>
          <w:p>
            <w:pPr>
              <w:jc w:val="center"/>
            </w:pPr>
            <w:r>
              <w:rPr>
                <w:color w:val="374151"/>
                <w:sz w:val="16"/>
                <w:szCs w:val="16"/>
              </w:rPr>
              <w:t xml:space="preserve">14</w:t>
            </w:r>
          </w:p>
        </w:tc>
        <w:tc>
          <w:tcPr>
            <w:shd w:fill="F3F4F6" w:color="F3F4F6" w:val="solid"/>
            <w:tcMar>
              <w:top w:type="dxa" w:w="60"/>
              <w:left w:type="dxa" w:w="80"/>
              <w:bottom w:type="dxa" w:w="60"/>
              <w:right w:type="dxa" w:w="80"/>
            </w:tcMar>
          </w:tcPr>
          <w:p>
            <w:pPr>
              <w:jc w:val="center"/>
            </w:pPr>
            <w:r>
              <w:rPr>
                <w:color w:val="374151"/>
                <w:sz w:val="16"/>
                <w:szCs w:val="16"/>
              </w:rPr>
              <w:t xml:space="preserve">0.87</w:t>
            </w:r>
          </w:p>
        </w:tc>
      </w:tr>
      <w:tr>
        <w:tc>
          <w:tcPr>
            <w:shd w:fill="FFFFFF" w:color="FFFFFF" w:val="solid"/>
            <w:tcMar>
              <w:top w:type="dxa" w:w="60"/>
              <w:left w:type="dxa" w:w="80"/>
              <w:bottom w:type="dxa" w:w="60"/>
              <w:right w:type="dxa" w:w="80"/>
            </w:tcMar>
          </w:tcPr>
          <w:p>
            <w:pPr>
              <w:jc w:val="left"/>
            </w:pPr>
            <w:r>
              <w:rPr>
                <w:color w:val="374151"/>
                <w:sz w:val="16"/>
                <w:szCs w:val="16"/>
              </w:rPr>
              <w:t xml:space="preserve">Sarb</w:t>
            </w:r>
          </w:p>
        </w:tc>
        <w:tc>
          <w:tcPr>
            <w:shd w:fill="FFFFFF" w:color="FFFFFF" w:val="solid"/>
            <w:tcMar>
              <w:top w:type="dxa" w:w="60"/>
              <w:left w:type="dxa" w:w="80"/>
              <w:bottom w:type="dxa" w:w="60"/>
              <w:right w:type="dxa" w:w="80"/>
            </w:tcMar>
          </w:tcPr>
          <w:p>
            <w:pPr>
              <w:jc w:val="center"/>
            </w:pPr>
            <w:r>
              <w:rPr>
                <w:color w:val="374151"/>
                <w:sz w:val="16"/>
                <w:szCs w:val="16"/>
              </w:rPr>
              <w:t xml:space="preserve">1,200</w:t>
            </w:r>
          </w:p>
        </w:tc>
        <w:tc>
          <w:tcPr>
            <w:shd w:fill="FFFFFF" w:color="FFFFFF" w:val="solid"/>
            <w:tcMar>
              <w:top w:type="dxa" w:w="60"/>
              <w:left w:type="dxa" w:w="80"/>
              <w:bottom w:type="dxa" w:w="60"/>
              <w:right w:type="dxa" w:w="80"/>
            </w:tcMar>
          </w:tcPr>
          <w:p>
            <w:pPr>
              <w:jc w:val="center"/>
            </w:pPr>
            <w:r>
              <w:rPr>
                <w:color w:val="374151"/>
                <w:sz w:val="16"/>
                <w:szCs w:val="16"/>
              </w:rPr>
              <w:t xml:space="preserve">26%</w:t>
            </w:r>
          </w:p>
        </w:tc>
        <w:tc>
          <w:tcPr>
            <w:shd w:fill="FFFFFF" w:color="FFFFFF" w:val="solid"/>
            <w:tcMar>
              <w:top w:type="dxa" w:w="60"/>
              <w:left w:type="dxa" w:w="80"/>
              <w:bottom w:type="dxa" w:w="60"/>
              <w:right w:type="dxa" w:w="80"/>
            </w:tcMar>
          </w:tcPr>
          <w:p>
            <w:pPr>
              <w:jc w:val="center"/>
            </w:pPr>
            <w:r>
              <w:rPr>
                <w:color w:val="374151"/>
                <w:sz w:val="16"/>
                <w:szCs w:val="16"/>
              </w:rPr>
              <w:t xml:space="preserve">0.058</w:t>
            </w:r>
          </w:p>
        </w:tc>
        <w:tc>
          <w:tcPr>
            <w:shd w:fill="FFFFFF" w:color="FFFFFF" w:val="solid"/>
            <w:tcMar>
              <w:top w:type="dxa" w:w="60"/>
              <w:left w:type="dxa" w:w="80"/>
              <w:bottom w:type="dxa" w:w="60"/>
              <w:right w:type="dxa" w:w="80"/>
            </w:tcMar>
          </w:tcPr>
          <w:p>
            <w:pPr>
              <w:jc w:val="center"/>
            </w:pPr>
            <w:r>
              <w:rPr>
                <w:color w:val="374151"/>
                <w:sz w:val="16"/>
                <w:szCs w:val="16"/>
              </w:rPr>
              <w:t xml:space="preserve">0.30</w:t>
            </w:r>
          </w:p>
        </w:tc>
        <w:tc>
          <w:tcPr>
            <w:shd w:fill="FFFFFF" w:color="FFFFFF" w:val="solid"/>
            <w:tcMar>
              <w:top w:type="dxa" w:w="60"/>
              <w:left w:type="dxa" w:w="80"/>
              <w:bottom w:type="dxa" w:w="60"/>
              <w:right w:type="dxa" w:w="80"/>
            </w:tcMar>
          </w:tcPr>
          <w:p>
            <w:pPr>
              <w:jc w:val="center"/>
            </w:pPr>
            <w:r>
              <w:rPr>
                <w:color w:val="374151"/>
                <w:sz w:val="16"/>
                <w:szCs w:val="16"/>
              </w:rPr>
              <w:t xml:space="preserve">275</w:t>
            </w:r>
          </w:p>
        </w:tc>
        <w:tc>
          <w:tcPr>
            <w:shd w:fill="FFFFFF" w:color="FFFFFF" w:val="solid"/>
            <w:tcMar>
              <w:top w:type="dxa" w:w="60"/>
              <w:left w:type="dxa" w:w="80"/>
              <w:bottom w:type="dxa" w:w="60"/>
              <w:right w:type="dxa" w:w="80"/>
            </w:tcMar>
          </w:tcPr>
          <w:p>
            <w:pPr>
              <w:jc w:val="center"/>
            </w:pPr>
            <w:r>
              <w:rPr>
                <w:color w:val="374151"/>
                <w:sz w:val="16"/>
                <w:szCs w:val="16"/>
              </w:rPr>
              <w:t xml:space="preserve">$8.80</w:t>
            </w:r>
          </w:p>
        </w:tc>
        <w:tc>
          <w:tcPr>
            <w:shd w:fill="FFFFFF" w:color="FFFFFF" w:val="solid"/>
            <w:tcMar>
              <w:top w:type="dxa" w:w="60"/>
              <w:left w:type="dxa" w:w="80"/>
              <w:bottom w:type="dxa" w:w="60"/>
              <w:right w:type="dxa" w:w="80"/>
            </w:tcMar>
          </w:tcPr>
          <w:p>
            <w:pPr>
              <w:jc w:val="center"/>
            </w:pPr>
            <w:r>
              <w:rPr>
                <w:color w:val="374151"/>
                <w:sz w:val="16"/>
                <w:szCs w:val="16"/>
              </w:rPr>
              <w:t xml:space="preserve">12</w:t>
            </w:r>
          </w:p>
        </w:tc>
        <w:tc>
          <w:tcPr>
            <w:shd w:fill="FFFFFF" w:color="FFFFFF" w:val="solid"/>
            <w:tcMar>
              <w:top w:type="dxa" w:w="60"/>
              <w:left w:type="dxa" w:w="80"/>
              <w:bottom w:type="dxa" w:w="60"/>
              <w:right w:type="dxa" w:w="80"/>
            </w:tcMar>
          </w:tcPr>
          <w:p>
            <w:pPr>
              <w:jc w:val="center"/>
            </w:pPr>
            <w:r>
              <w:rPr>
                <w:color w:val="374151"/>
                <w:sz w:val="16"/>
                <w:szCs w:val="16"/>
              </w:rPr>
              <w:t xml:space="preserve">0.86</w:t>
            </w:r>
          </w:p>
        </w:tc>
      </w:tr>
      <w:tr>
        <w:tc>
          <w:tcPr>
            <w:shd w:fill="F3F4F6" w:color="F3F4F6" w:val="solid"/>
            <w:tcMar>
              <w:top w:type="dxa" w:w="60"/>
              <w:left w:type="dxa" w:w="80"/>
              <w:bottom w:type="dxa" w:w="60"/>
              <w:right w:type="dxa" w:w="80"/>
            </w:tcMar>
          </w:tcPr>
          <w:p>
            <w:pPr>
              <w:jc w:val="left"/>
            </w:pPr>
            <w:r>
              <w:rPr>
                <w:color w:val="374151"/>
                <w:sz w:val="16"/>
                <w:szCs w:val="16"/>
              </w:rPr>
              <w:t xml:space="preserve">Umm Lulu</w:t>
            </w:r>
          </w:p>
        </w:tc>
        <w:tc>
          <w:tcPr>
            <w:shd w:fill="F3F4F6" w:color="F3F4F6" w:val="solid"/>
            <w:tcMar>
              <w:top w:type="dxa" w:w="60"/>
              <w:left w:type="dxa" w:w="80"/>
              <w:bottom w:type="dxa" w:w="60"/>
              <w:right w:type="dxa" w:w="80"/>
            </w:tcMar>
          </w:tcPr>
          <w:p>
            <w:pPr>
              <w:jc w:val="center"/>
            </w:pPr>
            <w:r>
              <w:rPr>
                <w:color w:val="374151"/>
                <w:sz w:val="16"/>
                <w:szCs w:val="16"/>
              </w:rPr>
              <w:t xml:space="preserve">1,500</w:t>
            </w:r>
          </w:p>
        </w:tc>
        <w:tc>
          <w:tcPr>
            <w:shd w:fill="F3F4F6" w:color="F3F4F6" w:val="solid"/>
            <w:tcMar>
              <w:top w:type="dxa" w:w="60"/>
              <w:left w:type="dxa" w:w="80"/>
              <w:bottom w:type="dxa" w:w="60"/>
              <w:right w:type="dxa" w:w="80"/>
            </w:tcMar>
          </w:tcPr>
          <w:p>
            <w:pPr>
              <w:jc w:val="center"/>
            </w:pPr>
            <w:r>
              <w:rPr>
                <w:color w:val="374151"/>
                <w:sz w:val="16"/>
                <w:szCs w:val="16"/>
              </w:rPr>
              <w:t xml:space="preserve">18%</w:t>
            </w:r>
          </w:p>
        </w:tc>
        <w:tc>
          <w:tcPr>
            <w:shd w:fill="F3F4F6" w:color="F3F4F6" w:val="solid"/>
            <w:tcMar>
              <w:top w:type="dxa" w:w="60"/>
              <w:left w:type="dxa" w:w="80"/>
              <w:bottom w:type="dxa" w:w="60"/>
              <w:right w:type="dxa" w:w="80"/>
            </w:tcMar>
          </w:tcPr>
          <w:p>
            <w:pPr>
              <w:jc w:val="center"/>
            </w:pPr>
            <w:r>
              <w:rPr>
                <w:color w:val="374151"/>
                <w:sz w:val="16"/>
                <w:szCs w:val="16"/>
              </w:rPr>
              <w:t xml:space="preserve">0.030</w:t>
            </w:r>
          </w:p>
        </w:tc>
        <w:tc>
          <w:tcPr>
            <w:shd w:fill="F3F4F6" w:color="F3F4F6" w:val="solid"/>
            <w:tcMar>
              <w:top w:type="dxa" w:w="60"/>
              <w:left w:type="dxa" w:w="80"/>
              <w:bottom w:type="dxa" w:w="60"/>
              <w:right w:type="dxa" w:w="80"/>
            </w:tcMar>
          </w:tcPr>
          <w:p>
            <w:pPr>
              <w:jc w:val="center"/>
            </w:pPr>
            <w:r>
              <w:rPr>
                <w:color w:val="374151"/>
                <w:sz w:val="16"/>
                <w:szCs w:val="16"/>
              </w:rPr>
              <w:t xml:space="preserve">0.48</w:t>
            </w:r>
          </w:p>
        </w:tc>
        <w:tc>
          <w:tcPr>
            <w:shd w:fill="F3F4F6" w:color="F3F4F6" w:val="solid"/>
            <w:tcMar>
              <w:top w:type="dxa" w:w="60"/>
              <w:left w:type="dxa" w:w="80"/>
              <w:bottom w:type="dxa" w:w="60"/>
              <w:right w:type="dxa" w:w="80"/>
            </w:tcMar>
          </w:tcPr>
          <w:p>
            <w:pPr>
              <w:jc w:val="center"/>
            </w:pPr>
            <w:r>
              <w:rPr>
                <w:color w:val="374151"/>
                <w:sz w:val="16"/>
                <w:szCs w:val="16"/>
              </w:rPr>
              <w:t xml:space="preserve">310</w:t>
            </w:r>
          </w:p>
        </w:tc>
        <w:tc>
          <w:tcPr>
            <w:shd w:fill="F3F4F6" w:color="F3F4F6" w:val="solid"/>
            <w:tcMar>
              <w:top w:type="dxa" w:w="60"/>
              <w:left w:type="dxa" w:w="80"/>
              <w:bottom w:type="dxa" w:w="60"/>
              <w:right w:type="dxa" w:w="80"/>
            </w:tcMar>
          </w:tcPr>
          <w:p>
            <w:pPr>
              <w:jc w:val="center"/>
            </w:pPr>
            <w:r>
              <w:rPr>
                <w:color w:val="374151"/>
                <w:sz w:val="16"/>
                <w:szCs w:val="16"/>
              </w:rPr>
              <w:t xml:space="preserve">$6.80</w:t>
            </w:r>
          </w:p>
        </w:tc>
        <w:tc>
          <w:tcPr>
            <w:shd w:fill="F3F4F6" w:color="F3F4F6" w:val="solid"/>
            <w:tcMar>
              <w:top w:type="dxa" w:w="60"/>
              <w:left w:type="dxa" w:w="80"/>
              <w:bottom w:type="dxa" w:w="60"/>
              <w:right w:type="dxa" w:w="80"/>
            </w:tcMar>
          </w:tcPr>
          <w:p>
            <w:pPr>
              <w:jc w:val="center"/>
            </w:pPr>
            <w:r>
              <w:rPr>
                <w:color w:val="374151"/>
                <w:sz w:val="16"/>
                <w:szCs w:val="16"/>
              </w:rPr>
              <w:t xml:space="preserve">28</w:t>
            </w:r>
          </w:p>
        </w:tc>
        <w:tc>
          <w:tcPr>
            <w:shd w:fill="F3F4F6" w:color="F3F4F6" w:val="solid"/>
            <w:tcMar>
              <w:top w:type="dxa" w:w="60"/>
              <w:left w:type="dxa" w:w="80"/>
              <w:bottom w:type="dxa" w:w="60"/>
              <w:right w:type="dxa" w:w="80"/>
            </w:tcMar>
          </w:tcPr>
          <w:p>
            <w:pPr>
              <w:jc w:val="center"/>
            </w:pPr>
            <w:r>
              <w:rPr>
                <w:color w:val="374151"/>
                <w:sz w:val="16"/>
                <w:szCs w:val="16"/>
              </w:rPr>
              <w:t xml:space="preserve">0.96</w:t>
            </w:r>
          </w:p>
        </w:tc>
      </w:tr>
      <w:tr>
        <w:tc>
          <w:tcPr>
            <w:shd w:fill="FFFFFF" w:color="FFFFFF" w:val="solid"/>
            <w:tcMar>
              <w:top w:type="dxa" w:w="60"/>
              <w:left w:type="dxa" w:w="80"/>
              <w:bottom w:type="dxa" w:w="60"/>
              <w:right w:type="dxa" w:w="80"/>
            </w:tcMar>
          </w:tcPr>
          <w:p>
            <w:pPr>
              <w:jc w:val="left"/>
            </w:pPr>
            <w:r>
              <w:rPr>
                <w:color w:val="374151"/>
                <w:sz w:val="16"/>
                <w:szCs w:val="16"/>
              </w:rPr>
              <w:t xml:space="preserve">Abu Al Bukhoosh</w:t>
            </w:r>
          </w:p>
        </w:tc>
        <w:tc>
          <w:tcPr>
            <w:shd w:fill="FFFFFF" w:color="FFFFFF" w:val="solid"/>
            <w:tcMar>
              <w:top w:type="dxa" w:w="60"/>
              <w:left w:type="dxa" w:w="80"/>
              <w:bottom w:type="dxa" w:w="60"/>
              <w:right w:type="dxa" w:w="80"/>
            </w:tcMar>
          </w:tcPr>
          <w:p>
            <w:pPr>
              <w:jc w:val="center"/>
            </w:pPr>
            <w:r>
              <w:rPr>
                <w:color w:val="374151"/>
                <w:sz w:val="16"/>
                <w:szCs w:val="16"/>
              </w:rPr>
              <w:t xml:space="preserve">900</w:t>
            </w:r>
          </w:p>
        </w:tc>
        <w:tc>
          <w:tcPr>
            <w:shd w:fill="FFFFFF" w:color="FFFFFF" w:val="solid"/>
            <w:tcMar>
              <w:top w:type="dxa" w:w="60"/>
              <w:left w:type="dxa" w:w="80"/>
              <w:bottom w:type="dxa" w:w="60"/>
              <w:right w:type="dxa" w:w="80"/>
            </w:tcMar>
          </w:tcPr>
          <w:p>
            <w:pPr>
              <w:jc w:val="center"/>
            </w:pPr>
            <w:r>
              <w:rPr>
                <w:color w:val="374151"/>
                <w:sz w:val="16"/>
                <w:szCs w:val="16"/>
              </w:rPr>
              <w:t xml:space="preserve">39%</w:t>
            </w:r>
          </w:p>
        </w:tc>
        <w:tc>
          <w:tcPr>
            <w:shd w:fill="FFFFFF" w:color="FFFFFF" w:val="solid"/>
            <w:tcMar>
              <w:top w:type="dxa" w:w="60"/>
              <w:left w:type="dxa" w:w="80"/>
              <w:bottom w:type="dxa" w:w="60"/>
              <w:right w:type="dxa" w:w="80"/>
            </w:tcMar>
          </w:tcPr>
          <w:p>
            <w:pPr>
              <w:jc w:val="center"/>
            </w:pPr>
            <w:r>
              <w:rPr>
                <w:color w:val="374151"/>
                <w:sz w:val="16"/>
                <w:szCs w:val="16"/>
              </w:rPr>
              <w:t xml:space="preserve">0.065</w:t>
            </w:r>
          </w:p>
        </w:tc>
        <w:tc>
          <w:tcPr>
            <w:shd w:fill="FFFFFF" w:color="FFFFFF" w:val="solid"/>
            <w:tcMar>
              <w:top w:type="dxa" w:w="60"/>
              <w:left w:type="dxa" w:w="80"/>
              <w:bottom w:type="dxa" w:w="60"/>
              <w:right w:type="dxa" w:w="80"/>
            </w:tcMar>
          </w:tcPr>
          <w:p>
            <w:pPr>
              <w:jc w:val="center"/>
            </w:pPr>
            <w:r>
              <w:rPr>
                <w:color w:val="374151"/>
                <w:sz w:val="16"/>
                <w:szCs w:val="16"/>
              </w:rPr>
              <w:t xml:space="preserve">0.25</w:t>
            </w:r>
          </w:p>
        </w:tc>
        <w:tc>
          <w:tcPr>
            <w:shd w:fill="FFFFFF" w:color="FFFFFF" w:val="solid"/>
            <w:tcMar>
              <w:top w:type="dxa" w:w="60"/>
              <w:left w:type="dxa" w:w="80"/>
              <w:bottom w:type="dxa" w:w="60"/>
              <w:right w:type="dxa" w:w="80"/>
            </w:tcMar>
          </w:tcPr>
          <w:p>
            <w:pPr>
              <w:jc w:val="center"/>
            </w:pPr>
            <w:r>
              <w:rPr>
                <w:color w:val="374151"/>
                <w:sz w:val="16"/>
                <w:szCs w:val="16"/>
              </w:rPr>
              <w:t xml:space="preserve">220</w:t>
            </w:r>
          </w:p>
        </w:tc>
        <w:tc>
          <w:tcPr>
            <w:shd w:fill="FFFFFF" w:color="FFFFFF" w:val="solid"/>
            <w:tcMar>
              <w:top w:type="dxa" w:w="60"/>
              <w:left w:type="dxa" w:w="80"/>
              <w:bottom w:type="dxa" w:w="60"/>
              <w:right w:type="dxa" w:w="80"/>
            </w:tcMar>
          </w:tcPr>
          <w:p>
            <w:pPr>
              <w:jc w:val="center"/>
            </w:pPr>
            <w:r>
              <w:rPr>
                <w:color w:val="374151"/>
                <w:sz w:val="16"/>
                <w:szCs w:val="16"/>
              </w:rPr>
              <w:t xml:space="preserve">$9.50</w:t>
            </w:r>
          </w:p>
        </w:tc>
        <w:tc>
          <w:tcPr>
            <w:shd w:fill="FFFFFF" w:color="FFFFFF" w:val="solid"/>
            <w:tcMar>
              <w:top w:type="dxa" w:w="60"/>
              <w:left w:type="dxa" w:w="80"/>
              <w:bottom w:type="dxa" w:w="60"/>
              <w:right w:type="dxa" w:w="80"/>
            </w:tcMar>
          </w:tcPr>
          <w:p>
            <w:pPr>
              <w:jc w:val="center"/>
            </w:pPr>
            <w:r>
              <w:rPr>
                <w:color w:val="374151"/>
                <w:sz w:val="16"/>
                <w:szCs w:val="16"/>
              </w:rPr>
              <w:t xml:space="preserve">10</w:t>
            </w:r>
          </w:p>
        </w:tc>
        <w:tc>
          <w:tcPr>
            <w:shd w:fill="FFFFFF" w:color="FFFFFF" w:val="solid"/>
            <w:tcMar>
              <w:top w:type="dxa" w:w="60"/>
              <w:left w:type="dxa" w:w="80"/>
              <w:bottom w:type="dxa" w:w="60"/>
              <w:right w:type="dxa" w:w="80"/>
            </w:tcMar>
          </w:tcPr>
          <w:p>
            <w:pPr>
              <w:jc w:val="center"/>
            </w:pPr>
            <w:r>
              <w:rPr>
                <w:color w:val="374151"/>
                <w:sz w:val="16"/>
                <w:szCs w:val="16"/>
              </w:rPr>
              <w:t xml:space="preserve">0.83</w:t>
            </w:r>
          </w:p>
        </w:tc>
      </w:tr>
    </w:tbl>
    <w:p>
      <w:pPr>
        <w:spacing w:after="80" w:before="80"/>
      </w:pPr>
    </w:p>
    <w:p>
      <w:pPr>
        <w:pStyle w:val="Heading1"/>
        <w:shd w:fill="1E3A5F" w:color="1E3A5F" w:val="solid"/>
        <w:spacing w:after="180" w:before="360"/>
        <w:ind w:left="288" w:right="288"/>
        <w:rPr>
          <w:b/>
          <w:bCs/>
          <w:color w:val="FFFFFF"/>
          <w:sz w:val="36"/>
          <w:szCs w:val="36"/>
        </w:rPr>
      </w:pPr>
      <w:r>
        <w:t xml:space="preserve">13. Display Formatting</w:t>
      </w:r>
    </w:p>
    <w:p>
      <w:pPr>
        <w:spacing w:after="80" w:before="80"/>
      </w:pP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formatNPV(npvB)</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"$X.XX B"  or  "$XXX M"  — auto-scales billions/millions</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formatProductionRate(bpd)</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"XXX,XXX bbl/day"  with locale comma formatting</w:t>
            </w:r>
          </w:p>
        </w:tc>
      </w:tr>
      <w:tr>
        <w:tc>
          <w:tcPr>
            <w:tcW w:type="pct" w:w="30%"/>
            <w:shd w:fill="F3F4F6" w:color="F3F4F6" w:val="solid"/>
            <w:tcMar>
              <w:top w:type="dxa" w:w="80"/>
              <w:left w:type="dxa" w:w="120"/>
              <w:bottom w:type="dxa" w:w="80"/>
              <w:right w:type="dxa" w:w="120"/>
            </w:tcMar>
            <w:vAlign w:val="center"/>
          </w:tcPr>
          <w:p>
            <w:r>
              <w:rPr>
                <w:b/>
                <w:bCs/>
                <w:color w:val="374151"/>
                <w:sz w:val="18"/>
                <w:szCs w:val="18"/>
              </w:rPr>
              <w:t xml:space="preserve">formatReserves(mmbbl)</w:t>
            </w:r>
          </w:p>
        </w:tc>
        <w:tc>
          <w:tcPr>
            <w:tcW w:type="pct" w:w="70%"/>
            <w:shd w:fill="EFF6FF" w:color="EFF6FF" w:val="solid"/>
            <w:tcMar>
              <w:top w:type="dxa" w:w="80"/>
              <w:left w:type="dxa" w:w="120"/>
              <w:bottom w:type="dxa" w:w="80"/>
              <w:right w:type="dxa" w:w="120"/>
            </w:tcMar>
          </w:tcPr>
          <w:p>
            <w:r>
              <w:rPr>
                <w:rFonts w:ascii="Courier New" w:cs="Courier New" w:eastAsia="Courier New" w:hAnsi="Courier New"/>
                <w:color w:val="1E40AF"/>
                <w:sz w:val="18"/>
                <w:szCs w:val="18"/>
              </w:rPr>
              <w:t xml:space="preserve">"X,XXX MMbbl"  with comma formatting</w:t>
            </w:r>
          </w:p>
        </w:tc>
      </w:tr>
    </w:tbl>
    <w:p>
      <w:pPr>
        <w:spacing w:after="80" w:before="80"/>
      </w:pPr>
    </w:p>
    <w:p>
      <w:pPr>
        <w:pStyle w:val="Heading1"/>
        <w:shd w:fill="1E3A5F" w:color="1E3A5F" w:val="solid"/>
        <w:spacing w:after="180" w:before="360"/>
        <w:ind w:left="288" w:right="288"/>
        <w:rPr>
          <w:b/>
          <w:bCs/>
          <w:color w:val="FFFFFF"/>
          <w:sz w:val="36"/>
          <w:szCs w:val="36"/>
        </w:rPr>
      </w:pPr>
      <w:r>
        <w:t xml:space="preserve">14. References</w:t>
      </w:r>
    </w:p>
    <w:p>
      <w:pPr>
        <w:spacing w:after="60" w:before="60"/>
        <w:ind w:left="576"/>
      </w:pPr>
      <w:r>
        <w:rPr>
          <w:color w:val="374151"/>
          <w:sz w:val="20"/>
          <w:szCs w:val="20"/>
        </w:rPr>
        <w:t xml:space="preserve">• Arps, J.J. (1945). Analysis of Decline Curves. SPE-945-PA, Trans. AIME 160, 228–247.</w:t>
      </w:r>
    </w:p>
    <w:p>
      <w:pPr>
        <w:spacing w:after="60" w:before="60"/>
        <w:ind w:left="576"/>
      </w:pPr>
      <w:r>
        <w:rPr>
          <w:color w:val="374151"/>
          <w:sz w:val="20"/>
          <w:szCs w:val="20"/>
        </w:rPr>
        <w:t xml:space="preserve">• Craig, F.F. (1971). The Reservoir Engineering Aspects of Waterflooding. SPE Monograph Vol. 3.</w:t>
      </w:r>
    </w:p>
    <w:p>
      <w:pPr>
        <w:spacing w:after="60" w:before="60"/>
        <w:ind w:left="576"/>
      </w:pPr>
      <w:r>
        <w:rPr>
          <w:color w:val="374151"/>
          <w:sz w:val="20"/>
          <w:szCs w:val="20"/>
        </w:rPr>
        <w:t xml:space="preserve">• Dykstra, H. &amp; Parsons, R.L. (1950). The Prediction of Oil Recovery by Water Flood. Secondary Recovery of Oil in the United States, API.</w:t>
      </w:r>
    </w:p>
    <w:p>
      <w:pPr>
        <w:spacing w:after="60" w:before="60"/>
        <w:ind w:left="576"/>
      </w:pPr>
      <w:r>
        <w:rPr>
          <w:color w:val="374151"/>
          <w:sz w:val="20"/>
          <w:szCs w:val="20"/>
        </w:rPr>
        <w:t xml:space="preserve">• Ahmed, T. (2010). Reservoir Engineering Handbook, 4th Ed. Gulf Professional Publishing.</w:t>
      </w:r>
    </w:p>
    <w:p>
      <w:pPr>
        <w:spacing w:after="60" w:before="60"/>
        <w:ind w:left="576"/>
      </w:pPr>
      <w:r>
        <w:rPr>
          <w:color w:val="374151"/>
          <w:sz w:val="20"/>
          <w:szCs w:val="20"/>
        </w:rPr>
        <w:t xml:space="preserve">• Ornstein, L.S. &amp; Uhlenbeck, G.E. (1930). On the Theory of the Brownian Motion. Physical Review 36, 823.</w:t>
      </w:r>
    </w:p>
    <w:p>
      <w:pPr>
        <w:spacing w:after="60" w:before="60"/>
        <w:ind w:left="576"/>
      </w:pPr>
      <w:r>
        <w:rPr>
          <w:color w:val="374151"/>
          <w:sz w:val="20"/>
          <w:szCs w:val="20"/>
        </w:rPr>
        <w:t xml:space="preserve">• Trigeorgis, L. (1996). Real Options: Managerial Flexibility and Strategy in Resource Allocation. MIT Press.</w:t>
      </w:r>
    </w:p>
    <w:p>
      <w:pPr>
        <w:spacing w:after="80" w:before="80"/>
      </w:pPr>
    </w:p>
    <w:p>
      <w:pPr>
        <w:spacing w:before="480"/>
        <w:jc w:val="center"/>
      </w:pPr>
      <w:r>
        <w:rPr>
          <w:color w:val="9CA3AF"/>
          <w:sz w:val="16"/>
          <w:szCs w:val="16"/>
        </w:rPr>
        <w:t xml:space="preserve">Generated by UpstreamAI FDP Decode  •  All formulas implemented in src/app/utils/calculations.ts</w:t>
      </w:r>
    </w:p>
    <w:sectPr>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UpstreamAI FDP Formula Reference  |  Confidential  |  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UpstreamAI FDP – Engineering &amp; Financial Formula Reference</dc:title>
  <dc:creator>UpstreamAI FDP Engine</dc:creator>
  <dc:description>Comprehensive documentation of all calculation logic used in the UpstreamAI Field Development Plan application.</dc:description>
  <cp:lastModifiedBy>Un-named</cp:lastModifiedBy>
  <cp:revision>1</cp:revision>
  <dcterms:created xsi:type="dcterms:W3CDTF">2026-03-11T09:45:21.754Z</dcterms:created>
  <dcterms:modified xsi:type="dcterms:W3CDTF">2026-03-11T09:45:21.754Z</dcterms:modified>
</cp:coreProperties>
</file>

<file path=docProps/custom.xml><?xml version="1.0" encoding="utf-8"?>
<Properties xmlns="http://schemas.openxmlformats.org/officeDocument/2006/custom-properties" xmlns:vt="http://schemas.openxmlformats.org/officeDocument/2006/docPropsVTypes"/>
</file>