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200"/>
      </w:pPr>
    </w:p>
    <w:p>
      <w:pPr>
        <w:pStyle w:val="Title"/>
        <w:jc w:val="center"/>
      </w:pPr>
      <w:r>
        <w:t xml:space="preserve">VFQ DXP Stack Modernization — Project Overview</w:t>
      </w:r>
    </w:p>
    <w:p>
      <w:r>
        <w:br w:type="page"/>
      </w:r>
    </w:p>
    <w:p>
      <w:pPr>
        <w:pStyle w:val="Heading1"/>
        <w:spacing w:after="240"/>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ectPr>
          <w:pgSz w:w="12240" w:h="15840" w:orient="portrait"/>
          <w:pgMar w:top="1080" w:right="1260" w:bottom="1080" w:left="1260" w:header="708" w:footer="708" w:gutter="0"/>
          <w:pgNumType/>
          <w:docGrid w:linePitch="360"/>
        </w:sectPr>
      </w:pPr>
    </w:p>
    <w:p>
      <w:pPr>
        <w:pStyle w:val="Heading1"/>
        <w:spacing w:after="240" w:before="200"/>
      </w:pPr>
      <w:r>
        <w:t xml:space="preserve">Document Information</w:t>
      </w:r>
    </w:p>
    <w:p>
      <w:pPr>
        <w:spacing w:after="100"/>
      </w:pPr>
      <w:r>
        <w:rPr>
          <w:rFonts w:ascii="Tenorite" w:cs="Tenorite" w:eastAsia="Tenorite" w:hAnsi="Tenorite"/>
          <w:b/>
          <w:bCs/>
          <w:color w:val="000000"/>
          <w:sz w:val="21"/>
          <w:szCs w:val="21"/>
        </w:rPr>
        <w:t xml:space="preserve">Document Version: </w:t>
      </w:r>
      <w:r>
        <w:rPr>
          <w:rFonts w:ascii="Tenorite" w:cs="Tenorite" w:eastAsia="Tenorite" w:hAnsi="Tenorite"/>
          <w:color w:val="000000"/>
          <w:sz w:val="21"/>
          <w:szCs w:val="21"/>
        </w:rPr>
        <w:t xml:space="preserve">1.0</w:t>
      </w:r>
    </w:p>
    <w:p>
      <w:pPr>
        <w:spacing w:after="100"/>
      </w:pPr>
      <w:r>
        <w:rPr>
          <w:rFonts w:ascii="Tenorite" w:cs="Tenorite" w:eastAsia="Tenorite" w:hAnsi="Tenorite"/>
          <w:b/>
          <w:bCs/>
          <w:color w:val="000000"/>
          <w:sz w:val="21"/>
          <w:szCs w:val="21"/>
        </w:rPr>
        <w:t xml:space="preserve">Date: </w:t>
      </w:r>
      <w:r>
        <w:rPr>
          <w:rFonts w:ascii="Tenorite" w:cs="Tenorite" w:eastAsia="Tenorite" w:hAnsi="Tenorite"/>
          <w:color w:val="000000"/>
          <w:sz w:val="21"/>
          <w:szCs w:val="21"/>
        </w:rPr>
        <w:t xml:space="preserve">2026-09-01</w:t>
      </w:r>
    </w:p>
    <w:p>
      <w:pPr>
        <w:spacing w:after="100"/>
      </w:pPr>
      <w:r>
        <w:rPr>
          <w:rFonts w:ascii="Tenorite" w:cs="Tenorite" w:eastAsia="Tenorite" w:hAnsi="Tenorite"/>
          <w:b/>
          <w:bCs/>
          <w:color w:val="000000"/>
          <w:sz w:val="21"/>
          <w:szCs w:val="21"/>
        </w:rPr>
        <w:t xml:space="preserve">Prepared for: </w:t>
      </w:r>
      <w:r>
        <w:rPr>
          <w:rFonts w:ascii="Tenorite" w:cs="Tenorite" w:eastAsia="Tenorite" w:hAnsi="Tenorite"/>
          <w:color w:val="000000"/>
          <w:sz w:val="21"/>
          <w:szCs w:val="21"/>
        </w:rPr>
        <w:t xml:space="preserve">Program stakeholders and delivery teams new to the VFQ domain</w:t>
      </w:r>
    </w:p>
    <w:p>
      <w:pPr>
        <w:spacing w:after="100"/>
      </w:pPr>
      <w:r>
        <w:rPr>
          <w:rFonts w:ascii="Tenorite" w:cs="Tenorite" w:eastAsia="Tenorite" w:hAnsi="Tenorite"/>
          <w:b/>
          <w:bCs/>
          <w:color w:val="000000"/>
          <w:sz w:val="21"/>
          <w:szCs w:val="21"/>
        </w:rPr>
        <w:t xml:space="preserve">Classification: </w:t>
      </w:r>
      <w:r>
        <w:rPr>
          <w:rFonts w:ascii="Tenorite" w:cs="Tenorite" w:eastAsia="Tenorite" w:hAnsi="Tenorite"/>
          <w:color w:val="808080"/>
          <w:sz w:val="21"/>
          <w:szCs w:val="21"/>
        </w:rPr>
        <w:t xml:space="preserve">Internal</w:t>
      </w:r>
    </w:p>
    <w:p>
      <w:pPr>
        <w:spacing w:after="100" w:before="200"/>
      </w:pPr>
      <w:r>
        <w:rPr>
          <w:rFonts w:ascii="Tenorite" w:cs="Tenorite" w:eastAsia="Tenorite" w:hAnsi="Tenorite"/>
          <w:i/>
          <w:iCs/>
          <w:color w:val="808080"/>
          <w:sz w:val="21"/>
          <w:szCs w:val="21"/>
        </w:rPr>
        <w:t xml:space="preserve">A consolidated, evidence-traceable requirements baseline and reference-application overview for readers new to the VFQ domain.</w:t>
      </w:r>
    </w:p>
    <w:p>
      <w:r>
        <w:br w:type="page"/>
      </w:r>
    </w:p>
    <w:p>
      <w:pPr>
        <w:pStyle w:val="Heading1"/>
        <w:spacing w:after="160" w:before="320"/>
      </w:pPr>
      <w:r>
        <w:t xml:space="preserve">Executive Summary</w:t>
      </w:r>
    </w:p>
    <w:p>
      <w:pPr>
        <w:spacing w:after="160" w:line="300"/>
      </w:pPr>
      <w:r>
        <w:rPr>
          <w:rFonts w:ascii="Tenorite" w:cs="Tenorite" w:eastAsia="Tenorite" w:hAnsi="Tenorite"/>
          <w:color w:val="000000"/>
          <w:sz w:val="21"/>
          <w:szCs w:val="21"/>
        </w:rPr>
        <w:t xml:space="preserve">Vodafone Qatar (VFQ) is modernizing the CRM/CVM technology stack that its retail agents, contact-center staff, and field technicians use every day to sell and service mobile, fixed-line, and enterprise connectivity. The current stack — Siebel CRM, the "Open UI" front end, ECR, and VSA — is fragmented, mostly manual (only 1 in 10 agent actions today is a guided, wizard-style journey; 7 in 10 are unguided, screen-by-screen navigation), and missing basic controls in places that create real revenue and compliance risk (for example, no system-enforced ceiling on customer credit limits, and no automatic re-evaluation of volume discounts when a customer's connections drop). The program's goal is a single new Digital Experience Platform (DXP) — an Open-UI-based agent platform — that consolidates mobile, fixed-line/fibre, fixed-wireless (FWA/5G Home), and enterprise service journeys into one consistent, guided, configuration-driven experience, while retiring ECR and folding MCCR's capabilities in.</w:t>
      </w:r>
    </w:p>
    <w:p>
      <w:pPr>
        <w:spacing w:after="160" w:line="300"/>
      </w:pPr>
      <w:r>
        <w:rPr>
          <w:rFonts w:ascii="Tenorite" w:cs="Tenorite" w:eastAsia="Tenorite" w:hAnsi="Tenorite"/>
          <w:color w:val="000000"/>
          <w:sz w:val="21"/>
          <w:szCs w:val="21"/>
        </w:rPr>
        <w:t xml:space="preserve">This document, and the </w:t>
      </w:r>
      <w:r>
        <w:rPr>
          <w:rFonts w:ascii="Tenorite" w:cs="Tenorite" w:eastAsia="Tenorite" w:hAnsi="Tenorite"/>
          <w:color w:val="000000"/>
          <w:sz w:val="21"/>
          <w:szCs w:val="21"/>
        </w:rPr>
        <w:t xml:space="preserve">vfq-dxp-app</w:t>
      </w:r>
      <w:r>
        <w:rPr>
          <w:rFonts w:ascii="Tenorite" w:cs="Tenorite" w:eastAsia="Tenorite" w:hAnsi="Tenorite"/>
          <w:color w:val="000000"/>
          <w:sz w:val="21"/>
          <w:szCs w:val="21"/>
        </w:rPr>
        <w:t xml:space="preserve"> codebase it describes, is not the production DXP itself. It is a </w:t>
      </w:r>
      <w:r>
        <w:rPr>
          <w:rFonts w:ascii="Tenorite" w:cs="Tenorite" w:eastAsia="Tenorite" w:hAnsi="Tenorite"/>
          <w:b/>
          <w:bCs/>
          <w:color w:val="000000"/>
          <w:sz w:val="21"/>
          <w:szCs w:val="21"/>
        </w:rPr>
        <w:t xml:space="preserve">reconstructed requirements blueprint plus a working front-end reference application</w:t>
      </w:r>
      <w:r>
        <w:rPr>
          <w:rFonts w:ascii="Tenorite" w:cs="Tenorite" w:eastAsia="Tenorite" w:hAnsi="Tenorite"/>
          <w:color w:val="000000"/>
          <w:sz w:val="21"/>
          <w:szCs w:val="21"/>
        </w:rPr>
        <w:t xml:space="preserve">, built by systematically mining an 83-document discovery corpus — workshop transcripts, formal Business Requirement Specification Documents (BRSDs), business-rule extracts, customer-facing forms, and 39 screenshot-driven "Guided Journey" walkthroughs of the existing Siebel/Open UI system. Every claim in the underlying catalogues is tagged with a source citation, a classification (</w:t>
      </w:r>
      <w:r>
        <w:rPr>
          <w:rFonts w:ascii="Tenorite" w:cs="Tenorite" w:eastAsia="Tenorite" w:hAnsi="Tenorite"/>
          <w:color w:val="000000"/>
          <w:sz w:val="21"/>
          <w:szCs w:val="21"/>
        </w:rPr>
        <w:t xml:space="preserve">Explicit</w:t>
      </w:r>
      <w:r>
        <w:rPr>
          <w:rFonts w:ascii="Tenorite" w:cs="Tenorite" w:eastAsia="Tenorite" w:hAnsi="Tenorite"/>
          <w:color w:val="000000"/>
          <w:sz w:val="21"/>
          <w:szCs w:val="21"/>
        </w:rPr>
        <w:t xml:space="preserve">/</w:t>
      </w:r>
      <w:r>
        <w:rPr>
          <w:rFonts w:ascii="Tenorite" w:cs="Tenorite" w:eastAsia="Tenorite" w:hAnsi="Tenorite"/>
          <w:color w:val="000000"/>
          <w:sz w:val="21"/>
          <w:szCs w:val="21"/>
        </w:rPr>
        <w:t xml:space="preserve">Inferred</w:t>
      </w:r>
      <w:r>
        <w:rPr>
          <w:rFonts w:ascii="Tenorite" w:cs="Tenorite" w:eastAsia="Tenorite" w:hAnsi="Tenorite"/>
          <w:color w:val="000000"/>
          <w:sz w:val="21"/>
          <w:szCs w:val="21"/>
        </w:rPr>
        <w:t xml:space="preserve">/</w:t>
      </w:r>
      <w:r>
        <w:rPr>
          <w:rFonts w:ascii="Tenorite" w:cs="Tenorite" w:eastAsia="Tenorite" w:hAnsi="Tenorite"/>
          <w:color w:val="000000"/>
          <w:sz w:val="21"/>
          <w:szCs w:val="21"/>
        </w:rPr>
        <w:t xml:space="preserve">Assumed</w:t>
      </w:r>
      <w:r>
        <w:rPr>
          <w:rFonts w:ascii="Tenorite" w:cs="Tenorite" w:eastAsia="Tenorite" w:hAnsi="Tenorite"/>
          <w:color w:val="000000"/>
          <w:sz w:val="21"/>
          <w:szCs w:val="21"/>
        </w:rPr>
        <w:t xml:space="preserve">), and a confidence rating (</w:t>
      </w:r>
      <w:r>
        <w:rPr>
          <w:rFonts w:ascii="Tenorite" w:cs="Tenorite" w:eastAsia="Tenorite" w:hAnsi="Tenorite"/>
          <w:color w:val="000000"/>
          <w:sz w:val="21"/>
          <w:szCs w:val="21"/>
        </w:rPr>
        <w:t xml:space="preserve">high</w:t>
      </w:r>
      <w:r>
        <w:rPr>
          <w:rFonts w:ascii="Tenorite" w:cs="Tenorite" w:eastAsia="Tenorite" w:hAnsi="Tenorite"/>
          <w:color w:val="000000"/>
          <w:sz w:val="21"/>
          <w:szCs w:val="21"/>
        </w:rPr>
        <w:t xml:space="preserve">/</w:t>
      </w:r>
      <w:r>
        <w:rPr>
          <w:rFonts w:ascii="Tenorite" w:cs="Tenorite" w:eastAsia="Tenorite" w:hAnsi="Tenorite"/>
          <w:color w:val="000000"/>
          <w:sz w:val="21"/>
          <w:szCs w:val="21"/>
        </w:rPr>
        <w:t xml:space="preserve">medium</w:t>
      </w:r>
      <w:r>
        <w:rPr>
          <w:rFonts w:ascii="Tenorite" w:cs="Tenorite" w:eastAsia="Tenorite" w:hAnsi="Tenorite"/>
          <w:color w:val="000000"/>
          <w:sz w:val="21"/>
          <w:szCs w:val="21"/>
        </w:rPr>
        <w:t xml:space="preserve">/</w:t>
      </w:r>
      <w:r>
        <w:rPr>
          <w:rFonts w:ascii="Tenorite" w:cs="Tenorite" w:eastAsia="Tenorite" w:hAnsi="Tenorite"/>
          <w:color w:val="000000"/>
          <w:sz w:val="21"/>
          <w:szCs w:val="21"/>
        </w:rPr>
        <w:t xml:space="preserve">low</w:t>
      </w:r>
      <w:r>
        <w:rPr>
          <w:rFonts w:ascii="Tenorite" w:cs="Tenorite" w:eastAsia="Tenorite" w:hAnsi="Tenorite"/>
          <w:color w:val="000000"/>
          <w:sz w:val="21"/>
          <w:szCs w:val="21"/>
        </w:rPr>
        <w:t xml:space="preserve">), so a reader can always trace a requirement, rule, screen, or persona back to the exact document and quote it came from.</w:t>
      </w:r>
    </w:p>
    <w:p>
      <w:pPr>
        <w:spacing w:after="160" w:line="300"/>
      </w:pPr>
      <w:r>
        <w:rPr>
          <w:rFonts w:ascii="Tenorite" w:cs="Tenorite" w:eastAsia="Tenorite" w:hAnsi="Tenorite"/>
          <w:b/>
          <w:bCs/>
          <w:color w:val="000000"/>
          <w:sz w:val="21"/>
          <w:szCs w:val="21"/>
        </w:rPr>
        <w:t xml:space="preserve">What the discovery work found, in numbers:</w:t>
      </w:r>
      <w:r>
        <w:rPr>
          <w:rFonts w:ascii="Tenorite" w:cs="Tenorite" w:eastAsia="Tenorite" w:hAnsi="Tenorite"/>
          <w:color w:val="000000"/>
          <w:sz w:val="21"/>
          <w:szCs w:val="21"/>
        </w:rPr>
        <w:t xml:space="preserve"> 308 consolidated requirements, 346 business rules, 111 end-to-end user journeys, 213 screens across 16 functional modules, 66 personas/roles, 145 role-based access entries, 970+ data fields, and 418 validation rules — with 775 test scenarios generated to exercise them, achieving traceable coverage of 100% of the 308 requirements. 91% of requirements and 93% of business rules are rated </w:t>
      </w:r>
      <w:r>
        <w:rPr>
          <w:rFonts w:ascii="Tenorite" w:cs="Tenorite" w:eastAsia="Tenorite" w:hAnsi="Tenorite"/>
          <w:color w:val="000000"/>
          <w:sz w:val="21"/>
          <w:szCs w:val="21"/>
        </w:rPr>
        <w:t xml:space="preserve">Explicit</w:t>
      </w:r>
      <w:r>
        <w:rPr>
          <w:rFonts w:ascii="Tenorite" w:cs="Tenorite" w:eastAsia="Tenorite" w:hAnsi="Tenorite"/>
          <w:color w:val="000000"/>
          <w:sz w:val="21"/>
          <w:szCs w:val="21"/>
        </w:rPr>
        <w:t xml:space="preserve">/</w:t>
      </w:r>
      <w:r>
        <w:rPr>
          <w:rFonts w:ascii="Tenorite" w:cs="Tenorite" w:eastAsia="Tenorite" w:hAnsi="Tenorite"/>
          <w:color w:val="000000"/>
          <w:sz w:val="21"/>
          <w:szCs w:val="21"/>
        </w:rPr>
        <w:t xml:space="preserve">high confidence</w:t>
      </w:r>
      <w:r>
        <w:rPr>
          <w:rFonts w:ascii="Tenorite" w:cs="Tenorite" w:eastAsia="Tenorite" w:hAnsi="Tenorite"/>
          <w:color w:val="000000"/>
          <w:sz w:val="21"/>
          <w:szCs w:val="21"/>
        </w:rPr>
        <w:t xml:space="preserve"> — this is a well-evidenced corpus, not a speculative one.</w:t>
      </w:r>
    </w:p>
    <w:p>
      <w:pPr>
        <w:spacing w:after="160" w:line="300"/>
      </w:pPr>
      <w:r>
        <w:rPr>
          <w:rFonts w:ascii="Tenorite" w:cs="Tenorite" w:eastAsia="Tenorite" w:hAnsi="Tenorite"/>
          <w:b/>
          <w:bCs/>
          <w:color w:val="000000"/>
          <w:sz w:val="21"/>
          <w:szCs w:val="21"/>
        </w:rPr>
        <w:t xml:space="preserve">What's still open:</w:t>
      </w:r>
      <w:r>
        <w:rPr>
          <w:rFonts w:ascii="Tenorite" w:cs="Tenorite" w:eastAsia="Tenorite" w:hAnsi="Tenorite"/>
          <w:color w:val="000000"/>
          <w:sz w:val="21"/>
          <w:szCs w:val="21"/>
        </w:rPr>
        <w:t xml:space="preserve"> after a dedicated re-mining pass recovered evidence for 78% of originally-flagged gaps, 21 items remain genuinely unresolved (13 orphan requirements, 1 under-detailed journey, 5 screens with no recoverable field detail, 2 under-specified entities), 3 new factual conflicts were found and adversarially verified (a self-contradictory fibre credit threshold, an address-capture rule that conflicts between a formal manual and a workshop decision, and disagreement over which channel can initiate service suspension), and 4 of the 16 functional modules (Billing &amp; Adjustments, Access/Roles/Approval Governance, CAF/Attachments &amp; Forms, Platform Governance &amp; Architecture) have no end-to-end journey evidence at all and are rated High Risk or Missing on build readiness. None of these gaps are hidden — each is logged with a recommended next step in the Gaps, Conflicts &amp; Assumptions section.</w:t>
      </w:r>
    </w:p>
    <w:p>
      <w:pPr>
        <w:spacing w:after="160" w:line="300"/>
      </w:pPr>
      <w:r>
        <w:rPr>
          <w:rFonts w:ascii="Tenorite" w:cs="Tenorite" w:eastAsia="Tenorite" w:hAnsi="Tenorite"/>
          <w:b/>
          <w:bCs/>
          <w:color w:val="000000"/>
          <w:sz w:val="21"/>
          <w:szCs w:val="21"/>
        </w:rPr>
        <w:t xml:space="preserve">What's actually built today:</w:t>
      </w:r>
      <w:r>
        <w:rPr>
          <w:rFonts w:ascii="Tenorite" w:cs="Tenorite" w:eastAsia="Tenorite" w:hAnsi="Tenorite"/>
          <w:color w:val="000000"/>
          <w:sz w:val="21"/>
          <w:szCs w:val="21"/>
        </w:rPr>
        <w:t xml:space="preserve"> </w:t>
      </w:r>
      <w:r>
        <w:rPr>
          <w:rFonts w:ascii="Tenorite" w:cs="Tenorite" w:eastAsia="Tenorite" w:hAnsi="Tenorite"/>
          <w:color w:val="000000"/>
          <w:sz w:val="21"/>
          <w:szCs w:val="21"/>
        </w:rPr>
        <w:t xml:space="preserve">vfq-dxp-app</w:t>
      </w:r>
      <w:r>
        <w:rPr>
          <w:rFonts w:ascii="Tenorite" w:cs="Tenorite" w:eastAsia="Tenorite" w:hAnsi="Tenorite"/>
          <w:color w:val="000000"/>
          <w:sz w:val="21"/>
          <w:szCs w:val="21"/>
        </w:rPr>
        <w:t xml:space="preserve"> is a real, running React 19 + TypeScript + Vite single-page application with no backend — every workflow, validation, and permission check is simulated client-side through a five-engine architecture (config, business-rule, validation, mock-data, and persona engines) reading from JSON derived directly from the evidence catalogues. 12 of the 16 modules have working screens built (70 screens implemented, out of the 213-screen target); the remaining screens and 4 unbuilt modules render an honest "not yet built" placeholder rather than a broken link or invented content.</w:t>
      </w:r>
    </w:p>
    <w:p>
      <w:pPr>
        <w:spacing w:after="160" w:line="300"/>
      </w:pPr>
      <w:r>
        <w:rPr>
          <w:rFonts w:ascii="Tenorite" w:cs="Tenorite" w:eastAsia="Tenorite" w:hAnsi="Tenorite"/>
          <w:b/>
          <w:bCs/>
          <w:color w:val="000000"/>
          <w:sz w:val="21"/>
          <w:szCs w:val="21"/>
        </w:rPr>
        <w:t xml:space="preserve">Key constraints for a new reader:</w:t>
      </w:r>
      <w:r>
        <w:rPr>
          <w:rFonts w:ascii="Tenorite" w:cs="Tenorite" w:eastAsia="Tenorite" w:hAnsi="Tenorite"/>
          <w:color w:val="000000"/>
          <w:sz w:val="21"/>
          <w:szCs w:val="21"/>
        </w:rPr>
        <w:t xml:space="preserve"> this is a discovery/requirements-gathering corpus, not a program-management document — it contains no formal MoSCoW/priority ranking and no stated success metrics or KPIs; those will need to be defined separately. The reference application's design tokens are drawn from a third-party approximation of Vodafone's design language, not official brand source files. Mock data throughout is synthetic by design (field </w:t>
      </w:r>
      <w:r>
        <w:rPr>
          <w:rFonts w:ascii="Tenorite" w:cs="Tenorite" w:eastAsia="Tenorite" w:hAnsi="Tenorite"/>
          <w:i/>
          <w:iCs/>
          <w:color w:val="000000"/>
          <w:sz w:val="21"/>
          <w:szCs w:val="21"/>
        </w:rPr>
        <w:t xml:space="preserve">shape</w:t>
      </w:r>
      <w:r>
        <w:rPr>
          <w:rFonts w:ascii="Tenorite" w:cs="Tenorite" w:eastAsia="Tenorite" w:hAnsi="Tenorite"/>
          <w:color w:val="000000"/>
          <w:sz w:val="21"/>
          <w:szCs w:val="21"/>
        </w:rPr>
        <w:t xml:space="preserve"> is evidence-grounded; content is not). Readers evaluating this material for a real delivery decision should start with the Gaps, Conflicts &amp; Assumptions section and the module-by-module Build Readiness table before treating any single module as fully specified.</w:t>
      </w:r>
    </w:p>
    <w:p>
      <w:r>
        <w:br w:type="page"/>
      </w:r>
    </w:p>
    <w:p>
      <w:pPr>
        <w:pStyle w:val="Heading1"/>
        <w:spacing w:after="160" w:before="320"/>
      </w:pPr>
      <w:r>
        <w:t xml:space="preserve">Project Overview</w:t>
      </w:r>
    </w:p>
    <w:p>
      <w:pPr>
        <w:pStyle w:val="Heading2"/>
        <w:spacing w:after="120" w:before="260"/>
      </w:pPr>
      <w:r>
        <w:t xml:space="preserve">Project Background</w:t>
      </w:r>
    </w:p>
    <w:p>
      <w:pPr>
        <w:spacing w:after="160" w:line="300"/>
      </w:pPr>
      <w:r>
        <w:rPr>
          <w:rFonts w:ascii="Tenorite" w:cs="Tenorite" w:eastAsia="Tenorite" w:hAnsi="Tenorite"/>
          <w:color w:val="000000"/>
          <w:sz w:val="21"/>
          <w:szCs w:val="21"/>
        </w:rPr>
        <w:t xml:space="preserve">Vodafone Qatar's customer-facing operations currently run on a legacy technology stack centered on Siebel CRM, accessed through a web front end called "Open UI," alongside two adjacent systems, ECR and VSA, and a downstream billing engine, BRM. This stack has accumulated years of workarounds: manual Excel-based bulk operations, business rules enforced by agents emailing each other rather than by the system, and a data model that in places cannot even reliably link a customer's billing record to their CRM record (module-hierarchy.md; business-rules.md, BR-008).</w:t>
      </w:r>
    </w:p>
    <w:p>
      <w:pPr>
        <w:spacing w:after="160" w:line="300"/>
      </w:pPr>
      <w:r>
        <w:rPr>
          <w:rFonts w:ascii="Tenorite" w:cs="Tenorite" w:eastAsia="Tenorite" w:hAnsi="Tenorite"/>
          <w:color w:val="000000"/>
          <w:sz w:val="21"/>
          <w:szCs w:val="21"/>
        </w:rPr>
        <w:t xml:space="preserve">Recognizing this, Vodafone Qatar ran an extended discovery program — a series of workshops and business-process review sessions (referenced throughout this document by day/session, e.g. "Business Workshop Day 2 – Session 1") — to capture, session by session, how the current system actually behaves, what's broken about it, and what a modernized platform needs to do instead. That discovery program produced the 83-document corpus (transcripts, BRSDs, business-rule extracts, customer forms, and screenshot-driven Guided Journey walkthroughs) that this entire blueprint and reference application are built from (</w:t>
      </w:r>
      <w:r>
        <w:rPr>
          <w:rFonts w:ascii="Tenorite" w:cs="Tenorite" w:eastAsia="Tenorite" w:hAnsi="Tenorite"/>
          <w:color w:val="000000"/>
          <w:sz w:val="21"/>
          <w:szCs w:val="21"/>
        </w:rPr>
        <w:t xml:space="preserve">vfq-dxp-app/reference/.knowledge/INDEX.md</w:t>
      </w:r>
      <w:r>
        <w:rPr>
          <w:rFonts w:ascii="Tenorite" w:cs="Tenorite" w:eastAsia="Tenorite" w:hAnsi="Tenorite"/>
          <w:color w:val="000000"/>
          <w:sz w:val="21"/>
          <w:szCs w:val="21"/>
        </w:rPr>
        <w:t xml:space="preserve">).</w:t>
      </w:r>
    </w:p>
    <w:p>
      <w:pPr>
        <w:pStyle w:val="Heading2"/>
        <w:spacing w:after="120" w:before="260"/>
      </w:pPr>
      <w:r>
        <w:t xml:space="preserve">Business Context</w:t>
      </w:r>
    </w:p>
    <w:p>
      <w:pPr>
        <w:spacing w:after="160" w:line="300"/>
      </w:pPr>
      <w:r>
        <w:rPr>
          <w:rFonts w:ascii="Tenorite" w:cs="Tenorite" w:eastAsia="Tenorite" w:hAnsi="Tenorite"/>
          <w:color w:val="000000"/>
          <w:sz w:val="21"/>
          <w:szCs w:val="21"/>
        </w:rPr>
        <w:t xml:space="preserve">Vodafone Qatar operates in a competitive Qatari telecommunications market, serving both individual consumers (CBU — Consumer Business Unit) and corporate/enterprise customers (EBU — Enterprise Business Unit) across mobile, fixed-line/fibre, and fixed-wireless (5G Home/FWA) services. Regulatory requirements shape several of the discovered rules directly — for example, number-portability timing and disclosure rules tied to the national porting clearinghouse (NPAS), and a requirement that CNAP (Calling Name Presentation) support 25 characters for regulatory compliance (requirements.md, REQ-019). Government identity infrastructure is deeply embedded in the customer journey: the Ministry of Interior's (MOI) national ID (QID) records are used to validate identity, auto-fill customer details, and gate onboarding across nearly every journey in the corpus.</w:t>
      </w:r>
    </w:p>
    <w:p>
      <w:pPr>
        <w:pStyle w:val="Heading2"/>
        <w:spacing w:after="120" w:before="260"/>
      </w:pPr>
      <w:r>
        <w:t xml:space="preserve">Purpose &amp; Objectives</w:t>
      </w:r>
    </w:p>
    <w:p>
      <w:pPr>
        <w:spacing w:after="160" w:line="300"/>
      </w:pPr>
      <w:r>
        <w:rPr>
          <w:rFonts w:ascii="Tenorite" w:cs="Tenorite" w:eastAsia="Tenorite" w:hAnsi="Tenorite"/>
          <w:color w:val="000000"/>
          <w:sz w:val="21"/>
          <w:szCs w:val="21"/>
        </w:rPr>
        <w:t xml:space="preserve">The stated purpose of the underlying program is to replace the legacy Siebel/Open UI/ECR/VSA stack with a single Digital Experience Platform (DXP), designed to be </w:t>
      </w:r>
      <w:r>
        <w:rPr>
          <w:rFonts w:ascii="Tenorite" w:cs="Tenorite" w:eastAsia="Tenorite" w:hAnsi="Tenorite"/>
          <w:b/>
          <w:bCs/>
          <w:color w:val="000000"/>
          <w:sz w:val="21"/>
          <w:szCs w:val="21"/>
        </w:rPr>
        <w:t xml:space="preserve">business-driven rather than technology-driven</w:t>
      </w:r>
      <w:r>
        <w:rPr>
          <w:rFonts w:ascii="Tenorite" w:cs="Tenorite" w:eastAsia="Tenorite" w:hAnsi="Tenorite"/>
          <w:color w:val="000000"/>
          <w:sz w:val="21"/>
          <w:szCs w:val="21"/>
        </w:rPr>
        <w:t xml:space="preserve"> — an explicit reversal of how the current Open UI system was built (requirements.md, REQ-244). The purpose of </w:t>
      </w:r>
      <w:r>
        <w:rPr>
          <w:rFonts w:ascii="Tenorite" w:cs="Tenorite" w:eastAsia="Tenorite" w:hAnsi="Tenorite"/>
          <w:i/>
          <w:iCs/>
          <w:color w:val="000000"/>
          <w:sz w:val="21"/>
          <w:szCs w:val="21"/>
        </w:rPr>
        <w:t xml:space="preserve">this specific deliverable</w:t>
      </w:r>
      <w:r>
        <w:rPr>
          <w:rFonts w:ascii="Tenorite" w:cs="Tenorite" w:eastAsia="Tenorite" w:hAnsi="Tenorite"/>
          <w:color w:val="000000"/>
          <w:sz w:val="21"/>
          <w:szCs w:val="21"/>
        </w:rPr>
        <w:t xml:space="preserve"> — the blueprint and </w:t>
      </w:r>
      <w:r>
        <w:rPr>
          <w:rFonts w:ascii="Tenorite" w:cs="Tenorite" w:eastAsia="Tenorite" w:hAnsi="Tenorite"/>
          <w:color w:val="000000"/>
          <w:sz w:val="21"/>
          <w:szCs w:val="21"/>
        </w:rPr>
        <w:t xml:space="preserve">vfq-dxp-app</w:t>
      </w:r>
      <w:r>
        <w:rPr>
          <w:rFonts w:ascii="Tenorite" w:cs="Tenorite" w:eastAsia="Tenorite" w:hAnsi="Tenorite"/>
          <w:color w:val="000000"/>
          <w:sz w:val="21"/>
          <w:szCs w:val="21"/>
        </w:rPr>
        <w:t xml:space="preserve"> reference application — is narrower and more concrete: to consolidate everything learned in discovery into one evidence-traceable requirements baseline, and to prove that baseline is buildable by implementing a working front-end reference application directly from it. See the Business Requirements section for the full list of underlying business objectives (correlating CRM/billing, closing revenue-leakage gaps, consolidating agent tooling, and others).</w:t>
      </w:r>
    </w:p>
    <w:p>
      <w:pPr>
        <w:pStyle w:val="Heading2"/>
        <w:spacing w:after="120" w:before="260"/>
      </w:pPr>
      <w:r>
        <w:t xml:space="preserve">Scope</w:t>
      </w:r>
    </w:p>
    <w:p>
      <w:pPr>
        <w:spacing w:after="160" w:line="300"/>
      </w:pPr>
      <w:r>
        <w:rPr>
          <w:rFonts w:ascii="Tenorite" w:cs="Tenorite" w:eastAsia="Tenorite" w:hAnsi="Tenorite"/>
          <w:b/>
          <w:bCs/>
          <w:color w:val="000000"/>
          <w:sz w:val="21"/>
          <w:szCs w:val="21"/>
        </w:rPr>
        <w:t xml:space="preserve">In scope for the discovery corpus and this blueprint:</w:t>
      </w:r>
      <w:r>
        <w:rPr>
          <w:rFonts w:ascii="Tenorite" w:cs="Tenorite" w:eastAsia="Tenorite" w:hAnsi="Tenorite"/>
          <w:color w:val="000000"/>
          <w:sz w:val="21"/>
          <w:szCs w:val="21"/>
        </w:rPr>
        <w:t xml:space="preserve"> mobile postpaid and prepaid activation; prepaid↔postpaid migration; mobile number portability (MNP) and fixed number portability (FNP); fixed-line/fibre activation, migration, and home move; fixed-wireless access (FWA/5G Home); SIM swap and transfer of ownership/number (TON); trouble ticketing and complaints; lead management; enterprise/IoT/B2B service ordering; billing profile, bill-limit, and credit-limit management; order approval workflows; and identity/customer management (MOI-based ID validation, Customer 360). These map to the 16 functional modules described in the Features &amp; Functionalities section.</w:t>
      </w:r>
    </w:p>
    <w:p>
      <w:pPr>
        <w:spacing w:after="160" w:line="300"/>
      </w:pPr>
      <w:r>
        <w:rPr>
          <w:rFonts w:ascii="Tenorite" w:cs="Tenorite" w:eastAsia="Tenorite" w:hAnsi="Tenorite"/>
          <w:b/>
          <w:bCs/>
          <w:color w:val="000000"/>
          <w:sz w:val="21"/>
          <w:szCs w:val="21"/>
        </w:rPr>
        <w:t xml:space="preserve">Explicitly out of scope or excluded:</w:t>
      </w:r>
      <w:r>
        <w:rPr>
          <w:rFonts w:ascii="Tenorite" w:cs="Tenorite" w:eastAsia="Tenorite" w:hAnsi="Tenorite"/>
          <w:color w:val="000000"/>
          <w:sz w:val="21"/>
          <w:szCs w:val="21"/>
        </w:rPr>
        <w:t xml:space="preserve"> the legacy ECR system is being decommissioned outright, not migrated (requirements.md, REQ-245); VSA/BSA are owned by a separate team and excluded from this corpus; Oracle Field Service (the field-technician mobile app) is referenced only at its handoff point (appointment booking) and is not itself a screen surface this blueprint documents; and the My Vodafone App (MVA) self-service channel is referenced only as an SMS deep-link destination, with no screens evidenced. Four modules (Billing &amp; Adjustments, Access/Roles &amp; Approval Governance, CAF/Attachments &amp; Forms, Platform Governance &amp; Architecture) are nominally in scope but have no journey-level evidence in the corpus at all — see Gaps, Conflicts &amp; Assumptions.</w:t>
      </w:r>
    </w:p>
    <w:p>
      <w:pPr>
        <w:pStyle w:val="Heading2"/>
        <w:spacing w:after="120" w:before="260"/>
      </w:pPr>
      <w:r>
        <w:t xml:space="preserve">Stakeholders</w:t>
      </w:r>
    </w:p>
    <w:p>
      <w:pPr>
        <w:spacing w:after="160" w:line="300"/>
      </w:pPr>
      <w:r>
        <w:rPr>
          <w:rFonts w:ascii="Tenorite" w:cs="Tenorite" w:eastAsia="Tenorite" w:hAnsi="Tenorite"/>
          <w:color w:val="000000"/>
          <w:sz w:val="21"/>
          <w:szCs w:val="21"/>
        </w:rPr>
        <w:t xml:space="preserve">The corpus evidences the following stakeholder groups, though it does not name a single overall project sponsor:</w:t>
      </w:r>
    </w:p>
    <w:p>
      <w:pPr>
        <w:pStyle w:val="ListParagraph"/>
        <w:numPr>
          <w:ilvl w:val="0"/>
          <w:numId w:val="1"/>
        </w:numPr>
        <w:spacing w:after="80"/>
      </w:pPr>
      <w:r>
        <w:rPr>
          <w:rFonts w:ascii="Tenorite" w:cs="Tenorite" w:eastAsia="Tenorite" w:hAnsi="Tenorite"/>
          <w:b/>
          <w:bCs/>
          <w:color w:val="000000"/>
          <w:sz w:val="21"/>
          <w:szCs w:val="21"/>
        </w:rPr>
        <w:t xml:space="preserve">Front-line delivery roles</w:t>
      </w:r>
      <w:r>
        <w:rPr>
          <w:rFonts w:ascii="Tenorite" w:cs="Tenorite" w:eastAsia="Tenorite" w:hAnsi="Tenorite"/>
          <w:color w:val="000000"/>
          <w:sz w:val="21"/>
          <w:szCs w:val="21"/>
        </w:rPr>
        <w:t xml:space="preserve">: Retail/Sales Agents, Back-office Fulfilment Agents, Field Technicians (WFM/Oracle Field Service) — the primary users of the journeys this blueprint documents (see Personas &amp; Roles).</w:t>
      </w:r>
    </w:p>
    <w:p>
      <w:pPr>
        <w:pStyle w:val="ListParagraph"/>
        <w:numPr>
          <w:ilvl w:val="0"/>
          <w:numId w:val="1"/>
        </w:numPr>
        <w:spacing w:after="80"/>
      </w:pPr>
      <w:r>
        <w:rPr>
          <w:rFonts w:ascii="Tenorite" w:cs="Tenorite" w:eastAsia="Tenorite" w:hAnsi="Tenorite"/>
          <w:b/>
          <w:bCs/>
          <w:color w:val="000000"/>
          <w:sz w:val="21"/>
          <w:szCs w:val="21"/>
        </w:rPr>
        <w:t xml:space="preserve">Approval/governance roles</w:t>
      </w:r>
      <w:r>
        <w:rPr>
          <w:rFonts w:ascii="Tenorite" w:cs="Tenorite" w:eastAsia="Tenorite" w:hAnsi="Tenorite"/>
          <w:color w:val="000000"/>
          <w:sz w:val="21"/>
          <w:szCs w:val="21"/>
        </w:rPr>
        <w:t xml:space="preserve">: Team Managers/Approvers, Credit Control, Retention Team, various approval-queue owners (CDM, BOQ, QATQ teams named in the TON journey).</w:t>
      </w:r>
    </w:p>
    <w:p>
      <w:pPr>
        <w:pStyle w:val="ListParagraph"/>
        <w:numPr>
          <w:ilvl w:val="0"/>
          <w:numId w:val="1"/>
        </w:numPr>
        <w:spacing w:after="80"/>
      </w:pPr>
      <w:r>
        <w:rPr>
          <w:rFonts w:ascii="Tenorite" w:cs="Tenorite" w:eastAsia="Tenorite" w:hAnsi="Tenorite"/>
          <w:b/>
          <w:bCs/>
          <w:color w:val="000000"/>
          <w:sz w:val="21"/>
          <w:szCs w:val="21"/>
        </w:rPr>
        <w:t xml:space="preserve">Enterprise-facing roles</w:t>
      </w:r>
      <w:r>
        <w:rPr>
          <w:rFonts w:ascii="Tenorite" w:cs="Tenorite" w:eastAsia="Tenorite" w:hAnsi="Tenorite"/>
          <w:color w:val="000000"/>
          <w:sz w:val="21"/>
          <w:szCs w:val="21"/>
        </w:rPr>
        <w:t xml:space="preserve">: Account Managers, and enterprise customer-side contacts (Choosers, Authorised Persons, Technical Contacts).</w:t>
      </w:r>
    </w:p>
    <w:p>
      <w:pPr>
        <w:pStyle w:val="ListParagraph"/>
        <w:numPr>
          <w:ilvl w:val="0"/>
          <w:numId w:val="1"/>
        </w:numPr>
        <w:spacing w:after="80"/>
      </w:pPr>
      <w:r>
        <w:rPr>
          <w:rFonts w:ascii="Tenorite" w:cs="Tenorite" w:eastAsia="Tenorite" w:hAnsi="Tenorite"/>
          <w:b/>
          <w:bCs/>
          <w:color w:val="000000"/>
          <w:sz w:val="21"/>
          <w:szCs w:val="21"/>
        </w:rPr>
        <w:t xml:space="preserve">System/technical stakeholders</w:t>
      </w:r>
      <w:r>
        <w:rPr>
          <w:rFonts w:ascii="Tenorite" w:cs="Tenorite" w:eastAsia="Tenorite" w:hAnsi="Tenorite"/>
          <w:color w:val="000000"/>
          <w:sz w:val="21"/>
          <w:szCs w:val="21"/>
        </w:rPr>
        <w:t xml:space="preserve">: IT Operations (the only persona retaining direct legacy Siebel/BRM access post-DXP), and the workshop facilitation team who ran the discovery sessions this corpus is built from.</w:t>
      </w:r>
    </w:p>
    <w:p>
      <w:pPr>
        <w:pStyle w:val="ListParagraph"/>
        <w:numPr>
          <w:ilvl w:val="0"/>
          <w:numId w:val="1"/>
        </w:numPr>
        <w:spacing w:after="80"/>
      </w:pPr>
      <w:r>
        <w:rPr>
          <w:rFonts w:ascii="Tenorite" w:cs="Tenorite" w:eastAsia="Tenorite" w:hAnsi="Tenorite"/>
          <w:b/>
          <w:bCs/>
          <w:color w:val="000000"/>
          <w:sz w:val="21"/>
          <w:szCs w:val="21"/>
        </w:rPr>
        <w:t xml:space="preserve">External parties</w:t>
      </w:r>
      <w:r>
        <w:rPr>
          <w:rFonts w:ascii="Tenorite" w:cs="Tenorite" w:eastAsia="Tenorite" w:hAnsi="Tenorite"/>
          <w:color w:val="000000"/>
          <w:sz w:val="21"/>
          <w:szCs w:val="21"/>
        </w:rPr>
        <w:t xml:space="preserve">: the Ministry of Interior (MOI, identity verification), donor mobile operators (e.g. Ooredoo, for MNP port-in), and NPAS (the national number-porting clearinghouse).</w:t>
      </w:r>
    </w:p>
    <w:p>
      <w:pPr>
        <w:pStyle w:val="ListParagraph"/>
        <w:numPr>
          <w:ilvl w:val="0"/>
          <w:numId w:val="1"/>
        </w:numPr>
        <w:spacing w:after="80"/>
      </w:pPr>
      <w:r>
        <w:rPr>
          <w:rFonts w:ascii="Tenorite" w:cs="Tenorite" w:eastAsia="Tenorite" w:hAnsi="Tenorite"/>
          <w:b/>
          <w:bCs/>
          <w:color w:val="000000"/>
          <w:sz w:val="21"/>
          <w:szCs w:val="21"/>
        </w:rPr>
        <w:t xml:space="preserve">End customers</w:t>
      </w:r>
      <w:r>
        <w:rPr>
          <w:rFonts w:ascii="Tenorite" w:cs="Tenorite" w:eastAsia="Tenorite" w:hAnsi="Tenorite"/>
          <w:color w:val="000000"/>
          <w:sz w:val="21"/>
          <w:szCs w:val="21"/>
        </w:rPr>
        <w:t xml:space="preserve">: consumer (CBU) and enterprise (EBU) subscribers, who are the subject of nearly every journey documented.</w:t>
      </w:r>
    </w:p>
    <w:p>
      <w:pPr>
        <w:pStyle w:val="Heading2"/>
        <w:spacing w:after="120" w:before="260"/>
      </w:pPr>
      <w:r>
        <w:t xml:space="preserve">Expected Outcomes</w:t>
      </w:r>
    </w:p>
    <w:p>
      <w:pPr>
        <w:pStyle w:val="ListParagraph"/>
        <w:numPr>
          <w:ilvl w:val="0"/>
          <w:numId w:val="1"/>
        </w:numPr>
        <w:spacing w:after="80"/>
      </w:pPr>
      <w:r>
        <w:rPr>
          <w:rFonts w:ascii="Tenorite" w:cs="Tenorite" w:eastAsia="Tenorite" w:hAnsi="Tenorite"/>
          <w:color w:val="000000"/>
          <w:sz w:val="21"/>
          <w:szCs w:val="21"/>
        </w:rPr>
        <w:t xml:space="preserve">A single, evidence-traceable requirements baseline (308 requirements, 346 business rules, 111 journeys, 213 screens) that a delivery team can build against without re-running discovery from scratch.</w:t>
      </w:r>
    </w:p>
    <w:p>
      <w:pPr>
        <w:pStyle w:val="ListParagraph"/>
        <w:numPr>
          <w:ilvl w:val="0"/>
          <w:numId w:val="1"/>
        </w:numPr>
        <w:spacing w:after="80"/>
      </w:pPr>
      <w:r>
        <w:rPr>
          <w:rFonts w:ascii="Tenorite" w:cs="Tenorite" w:eastAsia="Tenorite" w:hAnsi="Tenorite"/>
          <w:color w:val="000000"/>
          <w:sz w:val="21"/>
          <w:szCs w:val="21"/>
        </w:rPr>
        <w:t xml:space="preserve">A working front-end reference application (</w:t>
      </w:r>
      <w:r>
        <w:rPr>
          <w:rFonts w:ascii="Tenorite" w:cs="Tenorite" w:eastAsia="Tenorite" w:hAnsi="Tenorite"/>
          <w:color w:val="000000"/>
          <w:sz w:val="21"/>
          <w:szCs w:val="21"/>
        </w:rPr>
        <w:t xml:space="preserve">vfq-dxp-app</w:t>
      </w:r>
      <w:r>
        <w:rPr>
          <w:rFonts w:ascii="Tenorite" w:cs="Tenorite" w:eastAsia="Tenorite" w:hAnsi="Tenorite"/>
          <w:color w:val="000000"/>
          <w:sz w:val="21"/>
          <w:szCs w:val="21"/>
        </w:rPr>
        <w:t xml:space="preserve">) demonstrating that the blueprint is implementable, with roughly a third of the target screen surface already built out with functioning UI.</w:t>
      </w:r>
    </w:p>
    <w:p>
      <w:pPr>
        <w:pStyle w:val="ListParagraph"/>
        <w:numPr>
          <w:ilvl w:val="0"/>
          <w:numId w:val="1"/>
        </w:numPr>
        <w:spacing w:after="80"/>
      </w:pPr>
      <w:r>
        <w:rPr>
          <w:rFonts w:ascii="Tenorite" w:cs="Tenorite" w:eastAsia="Tenorite" w:hAnsi="Tenorite"/>
          <w:color w:val="000000"/>
          <w:sz w:val="21"/>
          <w:szCs w:val="21"/>
        </w:rPr>
        <w:t xml:space="preserve">775 requirement-linked test scenarios providing a starting QA baseline with 100% requirement-traceability.</w:t>
      </w:r>
    </w:p>
    <w:p>
      <w:pPr>
        <w:pStyle w:val="ListParagraph"/>
        <w:numPr>
          <w:ilvl w:val="0"/>
          <w:numId w:val="1"/>
        </w:numPr>
        <w:spacing w:after="80"/>
      </w:pPr>
      <w:r>
        <w:rPr>
          <w:rFonts w:ascii="Tenorite" w:cs="Tenorite" w:eastAsia="Tenorite" w:hAnsi="Tenorite"/>
          <w:color w:val="000000"/>
          <w:sz w:val="21"/>
          <w:szCs w:val="21"/>
        </w:rPr>
        <w:t xml:space="preserve">A clearly labeled inventory of what remains unresolved (gaps, conflicts, thin-evidence areas) so a delivery team knows exactly where to seek stakeholder confirmation before committing engineering effort.</w:t>
      </w:r>
    </w:p>
    <w:p>
      <w:pPr>
        <w:pStyle w:val="Heading2"/>
        <w:spacing w:after="120" w:before="260"/>
      </w:pPr>
      <w:r>
        <w:t xml:space="preserve">Key Assumptions</w:t>
      </w:r>
    </w:p>
    <w:p>
      <w:pPr>
        <w:pStyle w:val="ListParagraph"/>
        <w:numPr>
          <w:ilvl w:val="0"/>
          <w:numId w:val="1"/>
        </w:numPr>
        <w:spacing w:after="80"/>
      </w:pPr>
      <w:r>
        <w:rPr>
          <w:rFonts w:ascii="Tenorite" w:cs="Tenorite" w:eastAsia="Tenorite" w:hAnsi="Tenorite"/>
          <w:color w:val="000000"/>
          <w:sz w:val="21"/>
          <w:szCs w:val="21"/>
        </w:rPr>
        <w:t xml:space="preserve">The </w:t>
      </w:r>
      <w:r>
        <w:rPr>
          <w:rFonts w:ascii="Tenorite" w:cs="Tenorite" w:eastAsia="Tenorite" w:hAnsi="Tenorite"/>
          <w:color w:val="000000"/>
          <w:sz w:val="21"/>
          <w:szCs w:val="21"/>
        </w:rPr>
        <w:t xml:space="preserve">..._with_Type.xlsx</w:t>
      </w:r>
      <w:r>
        <w:rPr>
          <w:rFonts w:ascii="Tenorite" w:cs="Tenorite" w:eastAsia="Tenorite" w:hAnsi="Tenorite"/>
          <w:color w:val="000000"/>
          <w:sz w:val="21"/>
          <w:szCs w:val="21"/>
        </w:rPr>
        <w:t xml:space="preserve"> version of the CRM Journey catalogue is treated as authoritative over its near-duplicate, since it adds the Type taxonomy the gap analysis depends on (</w:t>
      </w:r>
      <w:r>
        <w:rPr>
          <w:rFonts w:ascii="Tenorite" w:cs="Tenorite" w:eastAsia="Tenorite" w:hAnsi="Tenorite"/>
          <w:color w:val="000000"/>
          <w:sz w:val="21"/>
          <w:szCs w:val="21"/>
        </w:rPr>
        <w:t xml:space="preserve">.knowledge/INDEX.md</w:t>
      </w:r>
      <w:r>
        <w:rPr>
          <w:rFonts w:ascii="Tenorite" w:cs="Tenorite" w:eastAsia="Tenorite" w:hAnsi="Tenorite"/>
          <w:color w:val="000000"/>
          <w:sz w:val="21"/>
          <w:szCs w:val="21"/>
        </w:rPr>
        <w:t xml:space="preserve">; conflict-report.md).</w:t>
      </w:r>
    </w:p>
    <w:p>
      <w:pPr>
        <w:pStyle w:val="ListParagraph"/>
        <w:numPr>
          <w:ilvl w:val="0"/>
          <w:numId w:val="1"/>
        </w:numPr>
        <w:spacing w:after="80"/>
      </w:pPr>
      <w:r>
        <w:rPr>
          <w:rFonts w:ascii="Tenorite" w:cs="Tenorite" w:eastAsia="Tenorite" w:hAnsi="Tenorite"/>
          <w:color w:val="000000"/>
          <w:sz w:val="21"/>
          <w:szCs w:val="21"/>
        </w:rPr>
        <w:t xml:space="preserve">Where the source corpus is silent on a screen's exact behavior, a small number of items borrow a design pattern from an evidenced sibling screen elsewhere in the same document set — always explicitly labeled </w:t>
      </w:r>
      <w:r>
        <w:rPr>
          <w:rFonts w:ascii="Tenorite" w:cs="Tenorite" w:eastAsia="Tenorite" w:hAnsi="Tenorite"/>
          <w:color w:val="000000"/>
          <w:sz w:val="21"/>
          <w:szCs w:val="21"/>
        </w:rPr>
        <w:t xml:space="preserve">Inferred</w:t>
      </w:r>
      <w:r>
        <w:rPr>
          <w:rFonts w:ascii="Tenorite" w:cs="Tenorite" w:eastAsia="Tenorite" w:hAnsi="Tenorite"/>
          <w:color w:val="000000"/>
          <w:sz w:val="21"/>
          <w:szCs w:val="21"/>
        </w:rPr>
        <w:t xml:space="preserve"> or </w:t>
      </w:r>
      <w:r>
        <w:rPr>
          <w:rFonts w:ascii="Tenorite" w:cs="Tenorite" w:eastAsia="Tenorite" w:hAnsi="Tenorite"/>
          <w:color w:val="000000"/>
          <w:sz w:val="21"/>
          <w:szCs w:val="21"/>
        </w:rPr>
        <w:t xml:space="preserve">Assumed</w:t>
      </w:r>
      <w:r>
        <w:rPr>
          <w:rFonts w:ascii="Tenorite" w:cs="Tenorite" w:eastAsia="Tenorite" w:hAnsi="Tenorite"/>
          <w:color w:val="000000"/>
          <w:sz w:val="21"/>
          <w:szCs w:val="21"/>
        </w:rPr>
        <w:t xml:space="preserve">, never presented as fact (see Gaps, Conflicts &amp; Assumptions §5).</w:t>
      </w:r>
    </w:p>
    <w:p>
      <w:pPr>
        <w:pStyle w:val="ListParagraph"/>
        <w:numPr>
          <w:ilvl w:val="0"/>
          <w:numId w:val="1"/>
        </w:numPr>
        <w:spacing w:after="80"/>
      </w:pPr>
      <w:r>
        <w:rPr>
          <w:rFonts w:ascii="Tenorite" w:cs="Tenorite" w:eastAsia="Tenorite" w:hAnsi="Tenorite"/>
          <w:color w:val="000000"/>
          <w:sz w:val="21"/>
          <w:szCs w:val="21"/>
        </w:rPr>
        <w:t xml:space="preserve">The design tokens and component styling in the reference application are sourced from a third-party approximation of Vodafone's design language supplied by the user, not official Vodafone brand/design-system files — directionally correct, not pixel-certified (reconstruction-package/docs/design-system.md).</w:t>
      </w:r>
    </w:p>
    <w:p>
      <w:pPr>
        <w:pStyle w:val="ListParagraph"/>
        <w:numPr>
          <w:ilvl w:val="0"/>
          <w:numId w:val="1"/>
        </w:numPr>
        <w:spacing w:after="80"/>
      </w:pPr>
      <w:r>
        <w:rPr>
          <w:rFonts w:ascii="Tenorite" w:cs="Tenorite" w:eastAsia="Tenorite" w:hAnsi="Tenorite"/>
          <w:color w:val="000000"/>
          <w:sz w:val="21"/>
          <w:szCs w:val="21"/>
        </w:rPr>
        <w:t xml:space="preserve">Mock data throughout the reference application is entirely synthetic; only the </w:t>
      </w:r>
      <w:r>
        <w:rPr>
          <w:rFonts w:ascii="Tenorite" w:cs="Tenorite" w:eastAsia="Tenorite" w:hAnsi="Tenorite"/>
          <w:i/>
          <w:iCs/>
          <w:color w:val="000000"/>
          <w:sz w:val="21"/>
          <w:szCs w:val="21"/>
        </w:rPr>
        <w:t xml:space="preserve">shape</w:t>
      </w:r>
      <w:r>
        <w:rPr>
          <w:rFonts w:ascii="Tenorite" w:cs="Tenorite" w:eastAsia="Tenorite" w:hAnsi="Tenorite"/>
          <w:color w:val="000000"/>
          <w:sz w:val="21"/>
          <w:szCs w:val="21"/>
        </w:rPr>
        <w:t xml:space="preserve">/structure of each record type is evidence-grounded, not its content (reconstruction-package/mock-data/README.md).</w:t>
      </w:r>
    </w:p>
    <w:p>
      <w:pPr>
        <w:pStyle w:val="Heading2"/>
        <w:spacing w:after="120" w:before="260"/>
      </w:pPr>
      <w:r>
        <w:t xml:space="preserve">Constraints</w:t>
      </w:r>
    </w:p>
    <w:p>
      <w:pPr>
        <w:pStyle w:val="ListParagraph"/>
        <w:numPr>
          <w:ilvl w:val="0"/>
          <w:numId w:val="1"/>
        </w:numPr>
        <w:spacing w:after="80"/>
      </w:pPr>
      <w:r>
        <w:rPr>
          <w:rFonts w:ascii="Tenorite" w:cs="Tenorite" w:eastAsia="Tenorite" w:hAnsi="Tenorite"/>
          <w:b/>
          <w:bCs/>
          <w:color w:val="000000"/>
          <w:sz w:val="21"/>
          <w:szCs w:val="21"/>
        </w:rPr>
        <w:t xml:space="preserve">No formal prioritization</w:t>
      </w:r>
      <w:r>
        <w:rPr>
          <w:rFonts w:ascii="Tenorite" w:cs="Tenorite" w:eastAsia="Tenorite" w:hAnsi="Tenorite"/>
          <w:color w:val="000000"/>
          <w:sz w:val="21"/>
          <w:szCs w:val="21"/>
        </w:rPr>
        <w:t xml:space="preserve"> exists anywhere in the source corpus (no MoSCoW, P0/P1, or similar scheme) — see Business Requirements §5. Any prioritization for delivery planning will need to be established separately with VFQ stakeholders.</w:t>
      </w:r>
    </w:p>
    <w:p>
      <w:pPr>
        <w:pStyle w:val="ListParagraph"/>
        <w:numPr>
          <w:ilvl w:val="0"/>
          <w:numId w:val="1"/>
        </w:numPr>
        <w:spacing w:after="80"/>
      </w:pPr>
      <w:r>
        <w:rPr>
          <w:rFonts w:ascii="Tenorite" w:cs="Tenorite" w:eastAsia="Tenorite" w:hAnsi="Tenorite"/>
          <w:b/>
          <w:bCs/>
          <w:color w:val="000000"/>
          <w:sz w:val="21"/>
          <w:szCs w:val="21"/>
        </w:rPr>
        <w:t xml:space="preserve">No stated success metrics, KPIs, or ROI targets</w:t>
      </w:r>
      <w:r>
        <w:rPr>
          <w:rFonts w:ascii="Tenorite" w:cs="Tenorite" w:eastAsia="Tenorite" w:hAnsi="Tenorite"/>
          <w:color w:val="000000"/>
          <w:sz w:val="21"/>
          <w:szCs w:val="21"/>
        </w:rPr>
        <w:t xml:space="preserve"> exist in the source material — see Business Requirements §7. This is a discovery/requirements corpus, not a business case or program-management document.</w:t>
      </w:r>
    </w:p>
    <w:p>
      <w:pPr>
        <w:pStyle w:val="ListParagraph"/>
        <w:numPr>
          <w:ilvl w:val="0"/>
          <w:numId w:val="1"/>
        </w:numPr>
        <w:spacing w:after="80"/>
      </w:pPr>
      <w:r>
        <w:rPr>
          <w:rFonts w:ascii="Tenorite" w:cs="Tenorite" w:eastAsia="Tenorite" w:hAnsi="Tenorite"/>
          <w:b/>
          <w:bCs/>
          <w:color w:val="000000"/>
          <w:sz w:val="21"/>
          <w:szCs w:val="21"/>
        </w:rPr>
        <w:t xml:space="preserve">The reference application is front-end-only</w:t>
      </w:r>
      <w:r>
        <w:rPr>
          <w:rFonts w:ascii="Tenorite" w:cs="Tenorite" w:eastAsia="Tenorite" w:hAnsi="Tenorite"/>
          <w:color w:val="000000"/>
          <w:sz w:val="21"/>
          <w:szCs w:val="21"/>
        </w:rPr>
        <w:t xml:space="preserve"> — no backend, database, or live integration exists; every workflow is simulated client-side. This is a deliberate scoping constraint for the reference build, not a statement about the target production DXP's architecture.</w:t>
      </w:r>
    </w:p>
    <w:p>
      <w:pPr>
        <w:pStyle w:val="ListParagraph"/>
        <w:numPr>
          <w:ilvl w:val="0"/>
          <w:numId w:val="1"/>
        </w:numPr>
        <w:spacing w:after="80"/>
      </w:pPr>
      <w:r>
        <w:rPr>
          <w:rFonts w:ascii="Tenorite" w:cs="Tenorite" w:eastAsia="Tenorite" w:hAnsi="Tenorite"/>
          <w:b/>
          <w:bCs/>
          <w:color w:val="000000"/>
          <w:sz w:val="21"/>
          <w:szCs w:val="21"/>
        </w:rPr>
        <w:t xml:space="preserve">Two source recordings are damaged or incomplete</w:t>
      </w:r>
      <w:r>
        <w:rPr>
          <w:rFonts w:ascii="Tenorite" w:cs="Tenorite" w:eastAsia="Tenorite" w:hAnsi="Tenorite"/>
          <w:color w:val="000000"/>
          <w:sz w:val="21"/>
          <w:szCs w:val="21"/>
        </w:rPr>
        <w:t xml:space="preserve"> (Business Process Day 11 Session 2, cutting off mid-discussion; Business Workshop Day 5 Session 1, only ~29 of 186 minutes recovered), capping confidence on anything sourced solely from them at </w:t>
      </w:r>
      <w:r>
        <w:rPr>
          <w:rFonts w:ascii="Tenorite" w:cs="Tenorite" w:eastAsia="Tenorite" w:hAnsi="Tenorite"/>
          <w:color w:val="000000"/>
          <w:sz w:val="21"/>
          <w:szCs w:val="21"/>
        </w:rPr>
        <w:t xml:space="preserve">medium</w:t>
      </w:r>
      <w:r>
        <w:rPr>
          <w:rFonts w:ascii="Tenorite" w:cs="Tenorite" w:eastAsia="Tenorite" w:hAnsi="Tenorite"/>
          <w:color w:val="000000"/>
          <w:sz w:val="21"/>
          <w:szCs w:val="21"/>
        </w:rPr>
        <w:t xml:space="preserve">.</w:t>
      </w:r>
    </w:p>
    <w:p>
      <w:pPr>
        <w:pStyle w:val="Heading2"/>
        <w:spacing w:after="120" w:before="260"/>
      </w:pPr>
      <w:r>
        <w:t xml:space="preserve">Dependencies</w:t>
      </w:r>
    </w:p>
    <w:p>
      <w:pPr>
        <w:pStyle w:val="ListParagraph"/>
        <w:numPr>
          <w:ilvl w:val="0"/>
          <w:numId w:val="1"/>
        </w:numPr>
        <w:spacing w:after="80"/>
      </w:pPr>
      <w:r>
        <w:rPr>
          <w:rFonts w:ascii="Tenorite" w:cs="Tenorite" w:eastAsia="Tenorite" w:hAnsi="Tenorite"/>
          <w:b/>
          <w:bCs/>
          <w:color w:val="000000"/>
          <w:sz w:val="21"/>
          <w:szCs w:val="21"/>
        </w:rPr>
        <w:t xml:space="preserve">MOI (Ministry of Interior)</w:t>
      </w:r>
      <w:r>
        <w:rPr>
          <w:rFonts w:ascii="Tenorite" w:cs="Tenorite" w:eastAsia="Tenorite" w:hAnsi="Tenorite"/>
          <w:color w:val="000000"/>
          <w:sz w:val="21"/>
          <w:szCs w:val="21"/>
        </w:rPr>
        <w:t xml:space="preserve"> — national ID verification is a hard dependency for nearly every customer-facing onboarding/activation journey; a documented 5–8 day sync-lag risk exists between MOI records and CRM.</w:t>
      </w:r>
    </w:p>
    <w:p>
      <w:pPr>
        <w:pStyle w:val="ListParagraph"/>
        <w:numPr>
          <w:ilvl w:val="0"/>
          <w:numId w:val="1"/>
        </w:numPr>
        <w:spacing w:after="80"/>
      </w:pPr>
      <w:r>
        <w:rPr>
          <w:rFonts w:ascii="Tenorite" w:cs="Tenorite" w:eastAsia="Tenorite" w:hAnsi="Tenorite"/>
          <w:b/>
          <w:bCs/>
          <w:color w:val="000000"/>
          <w:sz w:val="21"/>
          <w:szCs w:val="21"/>
        </w:rPr>
        <w:t xml:space="preserve">NPAS</w:t>
      </w:r>
      <w:r>
        <w:rPr>
          <w:rFonts w:ascii="Tenorite" w:cs="Tenorite" w:eastAsia="Tenorite" w:hAnsi="Tenorite"/>
          <w:color w:val="000000"/>
          <w:sz w:val="21"/>
          <w:szCs w:val="21"/>
        </w:rPr>
        <w:t xml:space="preserve"> — the national number-porting clearinghouse that MNP/FNP port-in and port-out journeys route through, with donor-operator response-time windows outside VFQ's control.</w:t>
      </w:r>
    </w:p>
    <w:p>
      <w:pPr>
        <w:pStyle w:val="ListParagraph"/>
        <w:numPr>
          <w:ilvl w:val="0"/>
          <w:numId w:val="1"/>
        </w:numPr>
        <w:spacing w:after="80"/>
      </w:pPr>
      <w:r>
        <w:rPr>
          <w:rFonts w:ascii="Tenorite" w:cs="Tenorite" w:eastAsia="Tenorite" w:hAnsi="Tenorite"/>
          <w:b/>
          <w:bCs/>
          <w:color w:val="000000"/>
          <w:sz w:val="21"/>
          <w:szCs w:val="21"/>
        </w:rPr>
        <w:t xml:space="preserve">UIM (inventory management)</w:t>
      </w:r>
      <w:r>
        <w:rPr>
          <w:rFonts w:ascii="Tenorite" w:cs="Tenorite" w:eastAsia="Tenorite" w:hAnsi="Tenorite"/>
          <w:color w:val="000000"/>
          <w:sz w:val="21"/>
          <w:szCs w:val="21"/>
        </w:rPr>
        <w:t xml:space="preserve"> — SIM/CPE serial validation at order time depends on this system; failure modes surface raw backend error codes to agents today (a known UX defect this blueprint recommends against carrying forward).</w:t>
      </w:r>
    </w:p>
    <w:p>
      <w:pPr>
        <w:pStyle w:val="ListParagraph"/>
        <w:numPr>
          <w:ilvl w:val="0"/>
          <w:numId w:val="1"/>
        </w:numPr>
        <w:spacing w:after="80"/>
      </w:pPr>
      <w:r>
        <w:rPr>
          <w:rFonts w:ascii="Tenorite" w:cs="Tenorite" w:eastAsia="Tenorite" w:hAnsi="Tenorite"/>
          <w:b/>
          <w:bCs/>
          <w:color w:val="000000"/>
          <w:sz w:val="21"/>
          <w:szCs w:val="21"/>
        </w:rPr>
        <w:t xml:space="preserve">Oracle Field Service (WFM/OFSC)</w:t>
      </w:r>
      <w:r>
        <w:rPr>
          <w:rFonts w:ascii="Tenorite" w:cs="Tenorite" w:eastAsia="Tenorite" w:hAnsi="Tenorite"/>
          <w:color w:val="000000"/>
          <w:sz w:val="21"/>
          <w:szCs w:val="21"/>
        </w:rPr>
        <w:t xml:space="preserve"> — the technician-facing scheduling/dispatch system that fixed-line, FWA, and home-move journeys hand off to for installation.</w:t>
      </w:r>
    </w:p>
    <w:p>
      <w:pPr>
        <w:pStyle w:val="ListParagraph"/>
        <w:numPr>
          <w:ilvl w:val="0"/>
          <w:numId w:val="1"/>
        </w:numPr>
        <w:spacing w:after="80"/>
      </w:pPr>
      <w:r>
        <w:rPr>
          <w:rFonts w:ascii="Tenorite" w:cs="Tenorite" w:eastAsia="Tenorite" w:hAnsi="Tenorite"/>
          <w:b/>
          <w:bCs/>
          <w:color w:val="000000"/>
          <w:sz w:val="21"/>
          <w:szCs w:val="21"/>
        </w:rPr>
        <w:t xml:space="preserve">Unica</w:t>
      </w:r>
      <w:r>
        <w:rPr>
          <w:rFonts w:ascii="Tenorite" w:cs="Tenorite" w:eastAsia="Tenorite" w:hAnsi="Tenorite"/>
          <w:color w:val="000000"/>
          <w:sz w:val="21"/>
          <w:szCs w:val="21"/>
        </w:rPr>
        <w:t xml:space="preserve"> — the campaign engine that generates the pre-computed migration/cross-sell offers surfaced to agents in several journeys.</w:t>
      </w:r>
    </w:p>
    <w:p>
      <w:pPr>
        <w:pStyle w:val="ListParagraph"/>
        <w:numPr>
          <w:ilvl w:val="0"/>
          <w:numId w:val="1"/>
        </w:numPr>
        <w:spacing w:after="80"/>
      </w:pPr>
      <w:r>
        <w:rPr>
          <w:rFonts w:ascii="Tenorite" w:cs="Tenorite" w:eastAsia="Tenorite" w:hAnsi="Tenorite"/>
          <w:b/>
          <w:bCs/>
          <w:color w:val="000000"/>
          <w:sz w:val="21"/>
          <w:szCs w:val="21"/>
        </w:rPr>
        <w:t xml:space="preserve">Three unresolved BRSD "Open Dependencies"</w:t>
      </w:r>
      <w:r>
        <w:rPr>
          <w:rFonts w:ascii="Tenorite" w:cs="Tenorite" w:eastAsia="Tenorite" w:hAnsi="Tenorite"/>
          <w:color w:val="000000"/>
          <w:sz w:val="21"/>
          <w:szCs w:val="21"/>
        </w:rPr>
        <w:t xml:space="preserve"> (Star Number pricing matrix, CAF template-by-role/channel matrix, HRN advance-payment matrix) are inputs Vodafone Qatar has not yet supplied to the corpus — these are acknowledged-open items, not analysis gaps (see Gaps, Conflicts &amp; Assumptions §1).</w:t>
      </w:r>
    </w:p>
    <w:p>
      <w:r>
        <w:br w:type="page"/>
      </w:r>
    </w:p>
    <w:p>
      <w:pPr>
        <w:pStyle w:val="Heading1"/>
        <w:spacing w:after="160" w:before="320"/>
      </w:pPr>
      <w:r>
        <w:t xml:space="preserve">Business Requirements</w:t>
      </w:r>
    </w:p>
    <w:p>
      <w:pPr>
        <w:pStyle w:val="Heading2"/>
        <w:spacing w:after="120" w:before="260"/>
      </w:pPr>
      <w:r>
        <w:t xml:space="preserve">About This Section</w:t>
      </w:r>
    </w:p>
    <w:p>
      <w:pPr>
        <w:spacing w:after="160" w:line="300"/>
      </w:pPr>
      <w:r>
        <w:rPr>
          <w:rFonts w:ascii="Tenorite" w:cs="Tenorite" w:eastAsia="Tenorite" w:hAnsi="Tenorite"/>
          <w:color w:val="000000"/>
          <w:sz w:val="21"/>
          <w:szCs w:val="21"/>
        </w:rPr>
        <w:t xml:space="preserve">This section is a plain-language synthesis of two large evidence catalogues built during discovery: </w:t>
      </w:r>
      <w:r>
        <w:rPr>
          <w:rFonts w:ascii="Tenorite" w:cs="Tenorite" w:eastAsia="Tenorite" w:hAnsi="Tenorite"/>
          <w:b/>
          <w:bCs/>
          <w:color w:val="000000"/>
          <w:sz w:val="21"/>
          <w:szCs w:val="21"/>
        </w:rPr>
        <w:t xml:space="preserve">`requirements.md`</w:t>
      </w:r>
      <w:r>
        <w:rPr>
          <w:rFonts w:ascii="Tenorite" w:cs="Tenorite" w:eastAsia="Tenorite" w:hAnsi="Tenorite"/>
          <w:color w:val="000000"/>
          <w:sz w:val="21"/>
          <w:szCs w:val="21"/>
        </w:rPr>
        <w:t xml:space="preserve"> (308 canonical requirements) and </w:t>
      </w:r>
      <w:r>
        <w:rPr>
          <w:rFonts w:ascii="Tenorite" w:cs="Tenorite" w:eastAsia="Tenorite" w:hAnsi="Tenorite"/>
          <w:b/>
          <w:bCs/>
          <w:color w:val="000000"/>
          <w:sz w:val="21"/>
          <w:szCs w:val="21"/>
        </w:rPr>
        <w:t xml:space="preserve">`business-rules.md`</w:t>
      </w:r>
      <w:r>
        <w:rPr>
          <w:rFonts w:ascii="Tenorite" w:cs="Tenorite" w:eastAsia="Tenorite" w:hAnsi="Tenorite"/>
          <w:color w:val="000000"/>
          <w:sz w:val="21"/>
          <w:szCs w:val="21"/>
        </w:rPr>
        <w:t xml:space="preserve"> (346 canonical business rules). Both were assembled from an 83-document corpus of workshops, business-process review recordings, Business Requirement Spec Documents (BRSDs), customer-facing forms, and screenshot-driven "Guided Journey" walkthroughs of the existing system.</w:t>
      </w:r>
    </w:p>
    <w:p>
      <w:pPr>
        <w:spacing w:after="160" w:line="300"/>
      </w:pPr>
      <w:r>
        <w:rPr>
          <w:rFonts w:ascii="Tenorite" w:cs="Tenorite" w:eastAsia="Tenorite" w:hAnsi="Tenorite"/>
          <w:b/>
          <w:bCs/>
          <w:color w:val="000000"/>
          <w:sz w:val="21"/>
          <w:szCs w:val="21"/>
        </w:rPr>
        <w:t xml:space="preserve">How to read the confidence labels used throughout this document:</w:t>
      </w:r>
      <w:r>
        <w:rPr>
          <w:rFonts w:ascii="Tenorite" w:cs="Tenorite" w:eastAsia="Tenorite" w:hAnsi="Tenorite"/>
          <w:color w:val="000000"/>
          <w:sz w:val="21"/>
          <w:szCs w:val="21"/>
        </w:rPr>
        <w:t xml:space="preserve"> every item in the source catalogues carries two independent tags.</w:t>
      </w:r>
    </w:p>
    <w:p>
      <w:pPr>
        <w:pStyle w:val="ListParagraph"/>
        <w:numPr>
          <w:ilvl w:val="0"/>
          <w:numId w:val="1"/>
        </w:numPr>
        <w:spacing w:after="80"/>
      </w:pPr>
      <w:r>
        <w:rPr>
          <w:rFonts w:ascii="Tenorite" w:cs="Tenorite" w:eastAsia="Tenorite" w:hAnsi="Tenorite"/>
          <w:b/>
          <w:bCs/>
          <w:color w:val="000000"/>
          <w:sz w:val="21"/>
          <w:szCs w:val="21"/>
        </w:rPr>
        <w:t xml:space="preserve">Classification</w:t>
      </w:r>
      <w:r>
        <w:rPr>
          <w:rFonts w:ascii="Tenorite" w:cs="Tenorite" w:eastAsia="Tenorite" w:hAnsi="Tenorite"/>
          <w:color w:val="000000"/>
          <w:sz w:val="21"/>
          <w:szCs w:val="21"/>
        </w:rPr>
        <w:t xml:space="preserve"> — </w:t>
      </w:r>
      <w:r>
        <w:rPr>
          <w:rFonts w:ascii="Tenorite" w:cs="Tenorite" w:eastAsia="Tenorite" w:hAnsi="Tenorite"/>
          <w:color w:val="000000"/>
          <w:sz w:val="21"/>
          <w:szCs w:val="21"/>
        </w:rPr>
        <w:t xml:space="preserve">Explicit</w:t>
      </w:r>
      <w:r>
        <w:rPr>
          <w:rFonts w:ascii="Tenorite" w:cs="Tenorite" w:eastAsia="Tenorite" w:hAnsi="Tenorite"/>
          <w:color w:val="000000"/>
          <w:sz w:val="21"/>
          <w:szCs w:val="21"/>
        </w:rPr>
        <w:t xml:space="preserve"> (directly stated by a source document), </w:t>
      </w:r>
      <w:r>
        <w:rPr>
          <w:rFonts w:ascii="Tenorite" w:cs="Tenorite" w:eastAsia="Tenorite" w:hAnsi="Tenorite"/>
          <w:color w:val="000000"/>
          <w:sz w:val="21"/>
          <w:szCs w:val="21"/>
        </w:rPr>
        <w:t xml:space="preserve">Inferred</w:t>
      </w:r>
      <w:r>
        <w:rPr>
          <w:rFonts w:ascii="Tenorite" w:cs="Tenorite" w:eastAsia="Tenorite" w:hAnsi="Tenorite"/>
          <w:color w:val="000000"/>
          <w:sz w:val="21"/>
          <w:szCs w:val="21"/>
        </w:rPr>
        <w:t xml:space="preserve"> (reasonably deduced from stated facts but not stated outright), or </w:t>
      </w:r>
      <w:r>
        <w:rPr>
          <w:rFonts w:ascii="Tenorite" w:cs="Tenorite" w:eastAsia="Tenorite" w:hAnsi="Tenorite"/>
          <w:color w:val="000000"/>
          <w:sz w:val="21"/>
          <w:szCs w:val="21"/>
        </w:rPr>
        <w:t xml:space="preserve">Assumed</w:t>
      </w:r>
      <w:r>
        <w:rPr>
          <w:rFonts w:ascii="Tenorite" w:cs="Tenorite" w:eastAsia="Tenorite" w:hAnsi="Tenorite"/>
          <w:color w:val="000000"/>
          <w:sz w:val="21"/>
          <w:szCs w:val="21"/>
        </w:rPr>
        <w:t xml:space="preserve"> (a gap-filling assumption; none exist in either catalogue).</w:t>
      </w:r>
    </w:p>
    <w:p>
      <w:pPr>
        <w:pStyle w:val="ListParagraph"/>
        <w:numPr>
          <w:ilvl w:val="0"/>
          <w:numId w:val="1"/>
        </w:numPr>
        <w:spacing w:after="80"/>
      </w:pPr>
      <w:r>
        <w:rPr>
          <w:rFonts w:ascii="Tenorite" w:cs="Tenorite" w:eastAsia="Tenorite" w:hAnsi="Tenorite"/>
          <w:b/>
          <w:bCs/>
          <w:color w:val="000000"/>
          <w:sz w:val="21"/>
          <w:szCs w:val="21"/>
        </w:rPr>
        <w:t xml:space="preserve">Confidence</w:t>
      </w:r>
      <w:r>
        <w:rPr>
          <w:rFonts w:ascii="Tenorite" w:cs="Tenorite" w:eastAsia="Tenorite" w:hAnsi="Tenorite"/>
          <w:color w:val="000000"/>
          <w:sz w:val="21"/>
          <w:szCs w:val="21"/>
        </w:rPr>
        <w:t xml:space="preserve"> — </w:t>
      </w:r>
      <w:r>
        <w:rPr>
          <w:rFonts w:ascii="Tenorite" w:cs="Tenorite" w:eastAsia="Tenorite" w:hAnsi="Tenorite"/>
          <w:color w:val="000000"/>
          <w:sz w:val="21"/>
          <w:szCs w:val="21"/>
        </w:rPr>
        <w:t xml:space="preserve">high</w:t>
      </w:r>
      <w:r>
        <w:rPr>
          <w:rFonts w:ascii="Tenorite" w:cs="Tenorite" w:eastAsia="Tenorite" w:hAnsi="Tenorite"/>
          <w:color w:val="000000"/>
          <w:sz w:val="21"/>
          <w:szCs w:val="21"/>
        </w:rPr>
        <w:t xml:space="preserve">, </w:t>
      </w:r>
      <w:r>
        <w:rPr>
          <w:rFonts w:ascii="Tenorite" w:cs="Tenorite" w:eastAsia="Tenorite" w:hAnsi="Tenorite"/>
          <w:color w:val="000000"/>
          <w:sz w:val="21"/>
          <w:szCs w:val="21"/>
        </w:rPr>
        <w:t xml:space="preserve">medium</w:t>
      </w:r>
      <w:r>
        <w:rPr>
          <w:rFonts w:ascii="Tenorite" w:cs="Tenorite" w:eastAsia="Tenorite" w:hAnsi="Tenorite"/>
          <w:color w:val="000000"/>
          <w:sz w:val="21"/>
          <w:szCs w:val="21"/>
        </w:rPr>
        <w:t xml:space="preserve">, or </w:t>
      </w:r>
      <w:r>
        <w:rPr>
          <w:rFonts w:ascii="Tenorite" w:cs="Tenorite" w:eastAsia="Tenorite" w:hAnsi="Tenorite"/>
          <w:color w:val="000000"/>
          <w:sz w:val="21"/>
          <w:szCs w:val="21"/>
        </w:rPr>
        <w:t xml:space="preserve">low</w:t>
      </w:r>
      <w:r>
        <w:rPr>
          <w:rFonts w:ascii="Tenorite" w:cs="Tenorite" w:eastAsia="Tenorite" w:hAnsi="Tenorite"/>
          <w:color w:val="000000"/>
          <w:sz w:val="21"/>
          <w:szCs w:val="21"/>
        </w:rPr>
        <w:t xml:space="preserve">, reflecting how reliable the source evidence is (e.g., a clean transcript quote vs. a partially damaged audio recording).</w:t>
      </w:r>
    </w:p>
    <w:p>
      <w:pPr>
        <w:spacing w:after="160" w:line="300"/>
      </w:pPr>
      <w:r>
        <w:rPr>
          <w:rFonts w:ascii="Tenorite" w:cs="Tenorite" w:eastAsia="Tenorite" w:hAnsi="Tenorite"/>
          <w:color w:val="000000"/>
          <w:sz w:val="21"/>
          <w:szCs w:val="21"/>
        </w:rPr>
        <w:t xml:space="preserve">Requirements are 91% Explicit/high-confidence; rules are 93% Explicit/high-confidence — both catalogues are evidence-heavy, not speculative. Every claim below cites its source item ID so it can be traced back to the original document.</w:t>
      </w:r>
    </w:p>
    <w:p>
      <w:pPr>
        <w:pStyle w:val="Heading2"/>
        <w:spacing w:after="120" w:before="260"/>
      </w:pPr>
      <w:r>
        <w:t xml:space="preserve">1. Business Needs</w:t>
      </w:r>
    </w:p>
    <w:p>
      <w:pPr>
        <w:spacing w:after="160" w:line="300"/>
      </w:pPr>
      <w:r>
        <w:rPr>
          <w:rFonts w:ascii="Tenorite" w:cs="Tenorite" w:eastAsia="Tenorite" w:hAnsi="Tenorite"/>
          <w:color w:val="000000"/>
          <w:sz w:val="21"/>
          <w:szCs w:val="21"/>
        </w:rPr>
        <w:t xml:space="preserve">Vodafone Qatar (VFQ) runs its customer relationship management (CRM) and customer value management (CVM) operations on an aging Siebel-based stack — Siebel CRM itself, ECR, VSA, and an "Open UI" front end — that retail agents, contact-center staff, and field technicians use to activate mobile and fixed-line services, port numbers between carriers, manage billing, and resolve trouble tickets. This program is replacing that stack with a new Digital Experience Platform (DXP) built on modern Open-UI-based components, aiming to give agents one unified, guided interface across mobile, fixed-line (fibre/FWA), enterprise, and self-service channels.</w:t>
      </w:r>
    </w:p>
    <w:p>
      <w:pPr>
        <w:spacing w:after="160" w:line="300"/>
      </w:pPr>
      <w:r>
        <w:rPr>
          <w:rFonts w:ascii="Tenorite" w:cs="Tenorite" w:eastAsia="Tenorite" w:hAnsi="Tenorite"/>
          <w:color w:val="000000"/>
          <w:sz w:val="21"/>
          <w:szCs w:val="21"/>
        </w:rPr>
        <w:t xml:space="preserve">The discovery work captured in these two catalogues shows why the legacy stack is a burden rather than an asset. Basic correlation between CRM and the billing engine (BRM) is missing — the billing profile has no unchangeable ID linking the two systems, only a renameable name (requirements.md, REQ-001; business-rules.md, BR-008). High-volume operational screens like Unbilled Usage cannot serve large enterprise accounts without hanging the system (BR-013). Revenue-critical logic — such as automatically re-evaluating volumetric discounts when a customer's connection count drops — simply doesn't exist, and is called out explicitly as a revenue-leakage risk (BR-025). Entire business rules that should be system-enforced, such as fibre taking precedence over 5G, are instead enforced manually via offline email between teams, with the first system touch happening only once an order reaches fulfilment (BR-028). Bulk operations (activation templates, number reservation, SMS campaigns) rely on decades-old Excel macros with rigid, brittle constraints (BR-027, BR-032).</w:t>
      </w:r>
    </w:p>
    <w:p>
      <w:pPr>
        <w:spacing w:after="160" w:line="300"/>
      </w:pPr>
      <w:r>
        <w:rPr>
          <w:rFonts w:ascii="Tenorite" w:cs="Tenorite" w:eastAsia="Tenorite" w:hAnsi="Tenorite"/>
          <w:color w:val="000000"/>
          <w:sz w:val="21"/>
          <w:szCs w:val="21"/>
        </w:rPr>
        <w:t xml:space="preserve">A parallel discovery track — 165 Siebel/Open UI journey rows reclassified into five formal types (User Journey, Workflow/Task, View, Action, Access/Permission) — found that only 10.3% of existing CRM actions are true guided journeys; 69.7% are unguided "vanilla" actions where the agent manually drives screen-by-screen navigation with no wizard support (requirements.md, REQ-119). That imbalance is itself a business problem: agent productivity and consistency both suffer when most of the system offers no structured guidance.</w:t>
      </w:r>
    </w:p>
    <w:p>
      <w:pPr>
        <w:spacing w:after="160" w:line="300"/>
      </w:pPr>
      <w:r>
        <w:rPr>
          <w:rFonts w:ascii="Tenorite" w:cs="Tenorite" w:eastAsia="Tenorite" w:hAnsi="Tenorite"/>
          <w:color w:val="000000"/>
          <w:sz w:val="21"/>
          <w:szCs w:val="21"/>
        </w:rPr>
        <w:t xml:space="preserve">The stated direction for the rebuild is explicit and worth noting on its own: this design is meant to be </w:t>
      </w:r>
      <w:r>
        <w:rPr>
          <w:rFonts w:ascii="Tenorite" w:cs="Tenorite" w:eastAsia="Tenorite" w:hAnsi="Tenorite"/>
          <w:b/>
          <w:bCs/>
          <w:color w:val="000000"/>
          <w:sz w:val="21"/>
          <w:szCs w:val="21"/>
        </w:rPr>
        <w:t xml:space="preserve">business-driven rather than technology-driven</w:t>
      </w:r>
      <w:r>
        <w:rPr>
          <w:rFonts w:ascii="Tenorite" w:cs="Tenorite" w:eastAsia="Tenorite" w:hAnsi="Tenorite"/>
          <w:color w:val="000000"/>
          <w:sz w:val="21"/>
          <w:szCs w:val="21"/>
        </w:rPr>
        <w:t xml:space="preserve">, in contrast to the prior Open UI build which was technology-led (REQ-244, sourced from </w:t>
      </w:r>
      <w:r>
        <w:rPr>
          <w:rFonts w:ascii="Tenorite" w:cs="Tenorite" w:eastAsia="Tenorite" w:hAnsi="Tenorite"/>
          <w:color w:val="000000"/>
          <w:sz w:val="21"/>
          <w:szCs w:val="21"/>
        </w:rPr>
        <w:t xml:space="preserve">it-stack-modernization-existing-processes-giga-26-23rd-floor-5c4b9d9d</w:t>
      </w:r>
      <w:r>
        <w:rPr>
          <w:rFonts w:ascii="Tenorite" w:cs="Tenorite" w:eastAsia="Tenorite" w:hAnsi="Tenorite"/>
          <w:color w:val="000000"/>
          <w:sz w:val="21"/>
          <w:szCs w:val="21"/>
        </w:rPr>
        <w:t xml:space="preserve">). The legacy ECR system is being decommissioned outright (not integrated with the new stack); its capabilities are being reconsidered rather than lifted-and-shifted, MCCR capabilities are being absorbed into the new stack, and VSA/BSA are explicitly out of scope, owned by a separate team (REQ-245).</w:t>
      </w:r>
    </w:p>
    <w:p>
      <w:pPr>
        <w:pStyle w:val="Heading2"/>
        <w:spacing w:after="120" w:before="260"/>
      </w:pPr>
      <w:r>
        <w:t xml:space="preserve">2. Business Objectives</w:t>
      </w:r>
    </w:p>
    <w:p>
      <w:pPr>
        <w:spacing w:after="160" w:line="300"/>
      </w:pPr>
      <w:r>
        <w:rPr>
          <w:rFonts w:ascii="Tenorite" w:cs="Tenorite" w:eastAsia="Tenorite" w:hAnsi="Tenorite"/>
          <w:color w:val="000000"/>
          <w:sz w:val="21"/>
          <w:szCs w:val="21"/>
        </w:rPr>
        <w:t xml:space="preserve">Drawn from explicit decisions, targets, and stated requirements across the corpus:</w:t>
      </w:r>
    </w:p>
    <w:p>
      <w:pPr>
        <w:pStyle w:val="ListParagraph"/>
        <w:numPr>
          <w:ilvl w:val="0"/>
          <w:numId w:val="1"/>
        </w:numPr>
        <w:spacing w:after="80"/>
      </w:pPr>
      <w:r>
        <w:rPr>
          <w:rFonts w:ascii="Tenorite" w:cs="Tenorite" w:eastAsia="Tenorite" w:hAnsi="Tenorite"/>
          <w:b/>
          <w:bCs/>
          <w:color w:val="000000"/>
          <w:sz w:val="21"/>
          <w:szCs w:val="21"/>
        </w:rPr>
        <w:t xml:space="preserve">Correlate CRM and billing systems reliably</w:t>
      </w:r>
      <w:r>
        <w:rPr>
          <w:rFonts w:ascii="Tenorite" w:cs="Tenorite" w:eastAsia="Tenorite" w:hAnsi="Tenorite"/>
          <w:color w:val="000000"/>
          <w:sz w:val="21"/>
          <w:szCs w:val="21"/>
        </w:rPr>
        <w:t xml:space="preserve"> — add an unchangeable identifier (BRM row ID + CRM unique ID) so billing profiles can be traced across systems without relying on an editable name field (REQ-001, BR-008).</w:t>
      </w:r>
    </w:p>
    <w:p>
      <w:pPr>
        <w:pStyle w:val="ListParagraph"/>
        <w:numPr>
          <w:ilvl w:val="0"/>
          <w:numId w:val="1"/>
        </w:numPr>
        <w:spacing w:after="80"/>
      </w:pPr>
      <w:r>
        <w:rPr>
          <w:rFonts w:ascii="Tenorite" w:cs="Tenorite" w:eastAsia="Tenorite" w:hAnsi="Tenorite"/>
          <w:b/>
          <w:bCs/>
          <w:color w:val="000000"/>
          <w:sz w:val="21"/>
          <w:szCs w:val="21"/>
        </w:rPr>
        <w:t xml:space="preserve">Close revenue-leakage gaps</w:t>
      </w:r>
      <w:r>
        <w:rPr>
          <w:rFonts w:ascii="Tenorite" w:cs="Tenorite" w:eastAsia="Tenorite" w:hAnsi="Tenorite"/>
          <w:color w:val="000000"/>
          <w:sz w:val="21"/>
          <w:szCs w:val="21"/>
        </w:rPr>
        <w:t xml:space="preserve"> — automate volumetric discount re-evaluation, plan-penalty/device-dues/lock-in-charge calculation, and postpaid-to-prepaid migration fee application, all currently manual or missing (REQ-021, REQ-072, REQ-078).</w:t>
      </w:r>
    </w:p>
    <w:p>
      <w:pPr>
        <w:pStyle w:val="ListParagraph"/>
        <w:numPr>
          <w:ilvl w:val="0"/>
          <w:numId w:val="1"/>
        </w:numPr>
        <w:spacing w:after="80"/>
      </w:pPr>
      <w:r>
        <w:rPr>
          <w:rFonts w:ascii="Tenorite" w:cs="Tenorite" w:eastAsia="Tenorite" w:hAnsi="Tenorite"/>
          <w:b/>
          <w:bCs/>
          <w:color w:val="000000"/>
          <w:sz w:val="21"/>
          <w:szCs w:val="21"/>
        </w:rPr>
        <w:t xml:space="preserve">Make manually-enforced business rules system-enforced</w:t>
      </w:r>
      <w:r>
        <w:rPr>
          <w:rFonts w:ascii="Tenorite" w:cs="Tenorite" w:eastAsia="Tenorite" w:hAnsi="Tenorite"/>
          <w:color w:val="000000"/>
          <w:sz w:val="21"/>
          <w:szCs w:val="21"/>
        </w:rPr>
        <w:t xml:space="preserve"> — e.g., fibre-over-5G precedence, TON (Transfer of Ownership) approvals, bill-cycle-change eligibility — replacing offline email-based enforcement with configurable rules (REQ-029, REQ-060, REQ-063).</w:t>
      </w:r>
    </w:p>
    <w:p>
      <w:pPr>
        <w:pStyle w:val="ListParagraph"/>
        <w:numPr>
          <w:ilvl w:val="0"/>
          <w:numId w:val="1"/>
        </w:numPr>
        <w:spacing w:after="80"/>
      </w:pPr>
      <w:r>
        <w:rPr>
          <w:rFonts w:ascii="Tenorite" w:cs="Tenorite" w:eastAsia="Tenorite" w:hAnsi="Tenorite"/>
          <w:b/>
          <w:bCs/>
          <w:color w:val="000000"/>
          <w:sz w:val="21"/>
          <w:szCs w:val="21"/>
        </w:rPr>
        <w:t xml:space="preserve">Consolidate agent tooling into one guided platform</w:t>
      </w:r>
      <w:r>
        <w:rPr>
          <w:rFonts w:ascii="Tenorite" w:cs="Tenorite" w:eastAsia="Tenorite" w:hAnsi="Tenorite"/>
          <w:color w:val="000000"/>
          <w:sz w:val="21"/>
          <w:szCs w:val="21"/>
        </w:rPr>
        <w:t xml:space="preserve"> — break monolithic legacy journeys into reusable "capability" building blocks exposed through the new DXP layer, hiding backend/workflow complexity from agents (REQ-110).</w:t>
      </w:r>
    </w:p>
    <w:p>
      <w:pPr>
        <w:pStyle w:val="ListParagraph"/>
        <w:numPr>
          <w:ilvl w:val="0"/>
          <w:numId w:val="1"/>
        </w:numPr>
        <w:spacing w:after="80"/>
      </w:pPr>
      <w:r>
        <w:rPr>
          <w:rFonts w:ascii="Tenorite" w:cs="Tenorite" w:eastAsia="Tenorite" w:hAnsi="Tenorite"/>
          <w:b/>
          <w:bCs/>
          <w:color w:val="000000"/>
          <w:sz w:val="21"/>
          <w:szCs w:val="21"/>
        </w:rPr>
        <w:t xml:space="preserve">Decouple device/channel from journey logic</w:t>
      </w:r>
      <w:r>
        <w:rPr>
          <w:rFonts w:ascii="Tenorite" w:cs="Tenorite" w:eastAsia="Tenorite" w:hAnsi="Tenorite"/>
          <w:color w:val="000000"/>
          <w:sz w:val="21"/>
          <w:szCs w:val="21"/>
        </w:rPr>
        <w:t xml:space="preserve"> — device type (tablet vs. desktop) should only affect rendering, not govern which journey an agent follows (REQ-055).</w:t>
      </w:r>
    </w:p>
    <w:p>
      <w:pPr>
        <w:pStyle w:val="ListParagraph"/>
        <w:numPr>
          <w:ilvl w:val="0"/>
          <w:numId w:val="1"/>
        </w:numPr>
        <w:spacing w:after="80"/>
      </w:pPr>
      <w:r>
        <w:rPr>
          <w:rFonts w:ascii="Tenorite" w:cs="Tenorite" w:eastAsia="Tenorite" w:hAnsi="Tenorite"/>
          <w:b/>
          <w:bCs/>
          <w:color w:val="000000"/>
          <w:sz w:val="21"/>
          <w:szCs w:val="21"/>
        </w:rPr>
        <w:t xml:space="preserve">Extend guided-journey coverage</w:t>
      </w:r>
      <w:r>
        <w:rPr>
          <w:rFonts w:ascii="Tenorite" w:cs="Tenorite" w:eastAsia="Tenorite" w:hAnsi="Tenorite"/>
          <w:color w:val="000000"/>
          <w:sz w:val="21"/>
          <w:szCs w:val="21"/>
        </w:rPr>
        <w:t xml:space="preserve"> — raise the current 10.3% guided-journey ratio by turning more vanilla/manual flows into structured wizards, and build genuinely new capabilities (e.g., enterprise lead management, account-manager task tracking) that don't exist in Siebel today (REQ-030, REQ-119).</w:t>
      </w:r>
    </w:p>
    <w:p>
      <w:pPr>
        <w:pStyle w:val="ListParagraph"/>
        <w:numPr>
          <w:ilvl w:val="0"/>
          <w:numId w:val="1"/>
        </w:numPr>
        <w:spacing w:after="80"/>
      </w:pPr>
      <w:r>
        <w:rPr>
          <w:rFonts w:ascii="Tenorite" w:cs="Tenorite" w:eastAsia="Tenorite" w:hAnsi="Tenorite"/>
          <w:b/>
          <w:bCs/>
          <w:color w:val="000000"/>
          <w:sz w:val="21"/>
          <w:szCs w:val="21"/>
        </w:rPr>
        <w:t xml:space="preserve">Modernize identity and address handling</w:t>
      </w:r>
      <w:r>
        <w:rPr>
          <w:rFonts w:ascii="Tenorite" w:cs="Tenorite" w:eastAsia="Tenorite" w:hAnsi="Tenorite"/>
          <w:color w:val="000000"/>
          <w:sz w:val="21"/>
          <w:szCs w:val="21"/>
        </w:rPr>
        <w:t xml:space="preserve"> — support MOI (Ministry of Interior)-sourced identity data properly (all 5-6 returned name fields, not truncated), split address into discrete searchable fields, and maintain address history consistently between CRM and self-service (REQ-105, REQ-097, REQ-098).</w:t>
      </w:r>
    </w:p>
    <w:p>
      <w:pPr>
        <w:pStyle w:val="ListParagraph"/>
        <w:numPr>
          <w:ilvl w:val="0"/>
          <w:numId w:val="1"/>
        </w:numPr>
        <w:spacing w:after="80"/>
      </w:pPr>
      <w:r>
        <w:rPr>
          <w:rFonts w:ascii="Tenorite" w:cs="Tenorite" w:eastAsia="Tenorite" w:hAnsi="Tenorite"/>
          <w:b/>
          <w:bCs/>
          <w:color w:val="000000"/>
          <w:sz w:val="21"/>
          <w:szCs w:val="21"/>
        </w:rPr>
        <w:t xml:space="preserve">Digitize paper-based and semi-manual processes</w:t>
      </w:r>
      <w:r>
        <w:rPr>
          <w:rFonts w:ascii="Tenorite" w:cs="Tenorite" w:eastAsia="Tenorite" w:hAnsi="Tenorite"/>
          <w:color w:val="000000"/>
          <w:sz w:val="21"/>
          <w:szCs w:val="21"/>
        </w:rPr>
        <w:t xml:space="preserve"> — digitize the supplementary form, add installation photo capture, and move Statement-of-Account generation from a manual Excel/SR process to automated, standardized consumer and enterprise formats (REQ-088, REQ-089, REQ-006).</w:t>
      </w:r>
    </w:p>
    <w:p>
      <w:pPr>
        <w:pStyle w:val="ListParagraph"/>
        <w:numPr>
          <w:ilvl w:val="0"/>
          <w:numId w:val="1"/>
        </w:numPr>
        <w:spacing w:after="80"/>
      </w:pPr>
      <w:r>
        <w:rPr>
          <w:rFonts w:ascii="Tenorite" w:cs="Tenorite" w:eastAsia="Tenorite" w:hAnsi="Tenorite"/>
          <w:b/>
          <w:bCs/>
          <w:color w:val="000000"/>
          <w:sz w:val="21"/>
          <w:szCs w:val="21"/>
        </w:rPr>
        <w:t xml:space="preserve">Strengthen fraud and compliance controls</w:t>
      </w:r>
      <w:r>
        <w:rPr>
          <w:rFonts w:ascii="Tenorite" w:cs="Tenorite" w:eastAsia="Tenorite" w:hAnsi="Tenorite"/>
          <w:color w:val="000000"/>
          <w:sz w:val="21"/>
          <w:szCs w:val="21"/>
        </w:rPr>
        <w:t xml:space="preserve"> — add audit trails for billing-profile/recipient-email changes (closing a known fraud scenario), enforce a four-approval fraud control on prepaid Transfer of Ownership, and keep MNP/porting timing and disclosure rules regulator-compliant (BR-016, BR-062, REQ-064).</w:t>
      </w:r>
    </w:p>
    <w:p>
      <w:pPr>
        <w:pStyle w:val="ListParagraph"/>
        <w:numPr>
          <w:ilvl w:val="0"/>
          <w:numId w:val="1"/>
        </w:numPr>
        <w:spacing w:after="80"/>
      </w:pPr>
      <w:r>
        <w:rPr>
          <w:rFonts w:ascii="Tenorite" w:cs="Tenorite" w:eastAsia="Tenorite" w:hAnsi="Tenorite"/>
          <w:b/>
          <w:bCs/>
          <w:color w:val="000000"/>
          <w:sz w:val="21"/>
          <w:szCs w:val="21"/>
        </w:rPr>
        <w:t xml:space="preserve">Improve performance and scale for enterprise accounts</w:t>
      </w:r>
      <w:r>
        <w:rPr>
          <w:rFonts w:ascii="Tenorite" w:cs="Tenorite" w:eastAsia="Tenorite" w:hAnsi="Tenorite"/>
          <w:color w:val="000000"/>
          <w:sz w:val="21"/>
          <w:szCs w:val="21"/>
        </w:rPr>
        <w:t xml:space="preserve"> — fix known hangs on Billing Profile/CDR/Unbilled-Usage pages for large enterprise accounts (REQ-034).</w:t>
      </w:r>
    </w:p>
    <w:p>
      <w:pPr>
        <w:pStyle w:val="ListParagraph"/>
        <w:numPr>
          <w:ilvl w:val="0"/>
          <w:numId w:val="1"/>
        </w:numPr>
        <w:spacing w:after="80"/>
      </w:pPr>
      <w:r>
        <w:rPr>
          <w:rFonts w:ascii="Tenorite" w:cs="Tenorite" w:eastAsia="Tenorite" w:hAnsi="Tenorite"/>
          <w:b/>
          <w:bCs/>
          <w:color w:val="000000"/>
          <w:sz w:val="21"/>
          <w:szCs w:val="21"/>
        </w:rPr>
        <w:t xml:space="preserve">Move business logic out of hard-coded system behavior into configuration</w:t>
      </w:r>
      <w:r>
        <w:rPr>
          <w:rFonts w:ascii="Tenorite" w:cs="Tenorite" w:eastAsia="Tenorite" w:hAnsi="Tenorite"/>
          <w:color w:val="000000"/>
          <w:sz w:val="21"/>
          <w:szCs w:val="21"/>
        </w:rPr>
        <w:t xml:space="preserve"> — catalogue, eligibility, discount, and number-pricing rules should be configurable rather than hard-coded (REQ-268, A-03).</w:t>
      </w:r>
    </w:p>
    <w:p>
      <w:pPr>
        <w:pStyle w:val="ListParagraph"/>
        <w:numPr>
          <w:ilvl w:val="0"/>
          <w:numId w:val="1"/>
        </w:numPr>
        <w:spacing w:after="80"/>
      </w:pPr>
      <w:r>
        <w:rPr>
          <w:rFonts w:ascii="Tenorite" w:cs="Tenorite" w:eastAsia="Tenorite" w:hAnsi="Tenorite"/>
          <w:b/>
          <w:bCs/>
          <w:color w:val="000000"/>
          <w:sz w:val="21"/>
          <w:szCs w:val="21"/>
        </w:rPr>
        <w:t xml:space="preserve">Sequence delivery sensibly</w:t>
      </w:r>
      <w:r>
        <w:rPr>
          <w:rFonts w:ascii="Tenorite" w:cs="Tenorite" w:eastAsia="Tenorite" w:hAnsi="Tenorite"/>
          <w:color w:val="000000"/>
          <w:sz w:val="21"/>
          <w:szCs w:val="21"/>
        </w:rPr>
        <w:t xml:space="preserve"> — consumer segment (mobile/fixed postpaid and prepaid) is explicitly planned to be completed before the enterprise segment (REQ-246).</w:t>
      </w:r>
    </w:p>
    <w:p>
      <w:pPr>
        <w:pStyle w:val="Heading2"/>
        <w:spacing w:after="120" w:before="260"/>
      </w:pPr>
      <w:r>
        <w:t xml:space="preserve">3. Business Rules</w:t>
      </w:r>
    </w:p>
    <w:p>
      <w:pPr>
        <w:pStyle w:val="Heading3"/>
        <w:spacing w:after="100" w:before="200"/>
      </w:pPr>
      <w:r>
        <w:t xml:space="preserve">Breakdown by category</w:t>
      </w:r>
    </w:p>
    <w:p>
      <w:pPr>
        <w:spacing w:after="160" w:line="300"/>
      </w:pPr>
      <w:r>
        <w:rPr>
          <w:rFonts w:ascii="Tenorite" w:cs="Tenorite" w:eastAsia="Tenorite" w:hAnsi="Tenorite"/>
          <w:color w:val="000000"/>
          <w:sz w:val="21"/>
          <w:szCs w:val="21"/>
        </w:rPr>
        <w:t xml:space="preserve">Both catalogues classify every item into a type. The rules catalogue (346 items) breaks down as:</w:t>
      </w:r>
    </w:p>
    <w:tbl>
      <w:tblPr>
        <w:tblW w:type="dxa" w:w="9350"/>
        <w:tblBorders>
          <w:top w:val="single" w:color="BFBFBF" w:sz="4"/>
          <w:left w:val="single" w:color="BFBFBF" w:sz="4"/>
          <w:bottom w:val="single" w:color="BFBFBF" w:sz="4"/>
          <w:right w:val="single" w:color="BFBFBF" w:sz="4"/>
          <w:insideH w:val="single" w:color="D9D9D9" w:sz="4"/>
          <w:insideV w:val="single" w:color="D9D9D9" w:sz="4"/>
        </w:tblBorders>
      </w:tblPr>
      <w:tblGrid>
        <w:gridCol w:w="3116"/>
        <w:gridCol w:w="3116"/>
        <w:gridCol w:w="3116"/>
      </w:tblGrid>
      <w:tr>
        <w:trPr>
          <w:tblHeader/>
        </w:trPr>
        <w:tc>
          <w:tcPr>
            <w:tcW w:type="dxa" w:w="3116"/>
            <w:shd w:fill="E8E8E8" w:val="clear"/>
            <w:tcMar>
              <w:top w:type="dxa" w:w="60"/>
              <w:left w:type="dxa" w:w="100"/>
              <w:bottom w:type="dxa" w:w="60"/>
              <w:right w:type="dxa" w:w="100"/>
            </w:tcMar>
            <w:vAlign w:val="center"/>
          </w:tcPr>
          <w:p>
            <w:pPr>
              <w:spacing w:after="0"/>
            </w:pPr>
            <w:r>
              <w:rPr>
                <w:rFonts w:ascii="Tenorite" w:cs="Tenorite" w:eastAsia="Tenorite" w:hAnsi="Tenorite"/>
                <w:b/>
                <w:bCs/>
                <w:color w:val="7030A0"/>
                <w:sz w:val="18"/>
                <w:szCs w:val="18"/>
              </w:rPr>
              <w:t xml:space="preserve">Rule Type</w:t>
            </w:r>
          </w:p>
        </w:tc>
        <w:tc>
          <w:tcPr>
            <w:tcW w:type="dxa" w:w="3116"/>
            <w:shd w:fill="E8E8E8" w:val="clear"/>
            <w:tcMar>
              <w:top w:type="dxa" w:w="60"/>
              <w:left w:type="dxa" w:w="100"/>
              <w:bottom w:type="dxa" w:w="60"/>
              <w:right w:type="dxa" w:w="100"/>
            </w:tcMar>
            <w:vAlign w:val="center"/>
          </w:tcPr>
          <w:p>
            <w:pPr>
              <w:spacing w:after="0"/>
            </w:pPr>
            <w:r>
              <w:rPr>
                <w:rFonts w:ascii="Tenorite" w:cs="Tenorite" w:eastAsia="Tenorite" w:hAnsi="Tenorite"/>
                <w:b/>
                <w:bCs/>
                <w:color w:val="7030A0"/>
                <w:sz w:val="18"/>
                <w:szCs w:val="18"/>
              </w:rPr>
              <w:t xml:space="preserve">Count</w:t>
            </w:r>
          </w:p>
        </w:tc>
        <w:tc>
          <w:tcPr>
            <w:tcW w:type="dxa" w:w="3116"/>
            <w:shd w:fill="E8E8E8" w:val="clear"/>
            <w:tcMar>
              <w:top w:type="dxa" w:w="60"/>
              <w:left w:type="dxa" w:w="100"/>
              <w:bottom w:type="dxa" w:w="60"/>
              <w:right w:type="dxa" w:w="100"/>
            </w:tcMar>
            <w:vAlign w:val="center"/>
          </w:tcPr>
          <w:p>
            <w:pPr>
              <w:spacing w:after="0"/>
            </w:pPr>
            <w:r>
              <w:rPr>
                <w:rFonts w:ascii="Tenorite" w:cs="Tenorite" w:eastAsia="Tenorite" w:hAnsi="Tenorite"/>
                <w:b/>
                <w:bCs/>
                <w:color w:val="7030A0"/>
                <w:sz w:val="18"/>
                <w:szCs w:val="18"/>
              </w:rPr>
              <w:t xml:space="preserve">What it governs</w:t>
            </w:r>
          </w:p>
        </w:tc>
      </w:tr>
      <w:tr>
        <w:tc>
          <w:tcPr>
            <w:tcW w:type="dxa" w:w="3116"/>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Validation</w:t>
            </w:r>
          </w:p>
        </w:tc>
        <w:tc>
          <w:tcPr>
            <w:tcW w:type="dxa" w:w="3116"/>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137</w:t>
            </w:r>
          </w:p>
        </w:tc>
        <w:tc>
          <w:tcPr>
            <w:tcW w:type="dxa" w:w="3116"/>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Field-level and process-level correctness checks (formats, required fields, mandatory documents)</w:t>
            </w:r>
          </w:p>
        </w:tc>
      </w:tr>
      <w:tr>
        <w:tc>
          <w:tcPr>
            <w:tcW w:type="dxa" w:w="3116"/>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Eligibility</w:t>
            </w:r>
          </w:p>
        </w:tc>
        <w:tc>
          <w:tcPr>
            <w:tcW w:type="dxa" w:w="3116"/>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50</w:t>
            </w:r>
          </w:p>
        </w:tc>
        <w:tc>
          <w:tcPr>
            <w:tcW w:type="dxa" w:w="3116"/>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Who/what qualifies for an offer, waiver, or service</w:t>
            </w:r>
          </w:p>
        </w:tc>
      </w:tr>
      <w:tr>
        <w:tc>
          <w:tcPr>
            <w:tcW w:type="dxa" w:w="3116"/>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Routing</w:t>
            </w:r>
          </w:p>
        </w:tc>
        <w:tc>
          <w:tcPr>
            <w:tcW w:type="dxa" w:w="3116"/>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46</w:t>
            </w:r>
          </w:p>
        </w:tc>
        <w:tc>
          <w:tcPr>
            <w:tcW w:type="dxa" w:w="3116"/>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Which path, timing window, or workflow branch a case follows</w:t>
            </w:r>
          </w:p>
        </w:tc>
      </w:tr>
      <w:tr>
        <w:tc>
          <w:tcPr>
            <w:tcW w:type="dxa" w:w="3116"/>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Derivation</w:t>
            </w:r>
          </w:p>
        </w:tc>
        <w:tc>
          <w:tcPr>
            <w:tcW w:type="dxa" w:w="3116"/>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44</w:t>
            </w:r>
          </w:p>
        </w:tc>
        <w:tc>
          <w:tcPr>
            <w:tcW w:type="dxa" w:w="3116"/>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How one data value is derived/defaulted from another</w:t>
            </w:r>
          </w:p>
        </w:tc>
      </w:tr>
      <w:tr>
        <w:tc>
          <w:tcPr>
            <w:tcW w:type="dxa" w:w="3116"/>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Calculation</w:t>
            </w:r>
          </w:p>
        </w:tc>
        <w:tc>
          <w:tcPr>
            <w:tcW w:type="dxa" w:w="3116"/>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30</w:t>
            </w:r>
          </w:p>
        </w:tc>
        <w:tc>
          <w:tcPr>
            <w:tcW w:type="dxa" w:w="3116"/>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Fees, penalties, prorations, and other computed amounts</w:t>
            </w:r>
          </w:p>
        </w:tc>
      </w:tr>
      <w:tr>
        <w:tc>
          <w:tcPr>
            <w:tcW w:type="dxa" w:w="3116"/>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Permission</w:t>
            </w:r>
          </w:p>
        </w:tc>
        <w:tc>
          <w:tcPr>
            <w:tcW w:type="dxa" w:w="3116"/>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28</w:t>
            </w:r>
          </w:p>
        </w:tc>
        <w:tc>
          <w:tcPr>
            <w:tcW w:type="dxa" w:w="3116"/>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Who is allowed to perform or approve an action</w:t>
            </w:r>
          </w:p>
        </w:tc>
      </w:tr>
      <w:tr>
        <w:tc>
          <w:tcPr>
            <w:tcW w:type="dxa" w:w="3116"/>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Visibility</w:t>
            </w:r>
          </w:p>
        </w:tc>
        <w:tc>
          <w:tcPr>
            <w:tcW w:type="dxa" w:w="3116"/>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11</w:t>
            </w:r>
          </w:p>
        </w:tc>
        <w:tc>
          <w:tcPr>
            <w:tcW w:type="dxa" w:w="3116"/>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What data/UI is shown to which role</w:t>
            </w:r>
          </w:p>
        </w:tc>
      </w:tr>
    </w:tbl>
    <w:p>
      <w:pPr>
        <w:spacing w:after="200"/>
      </w:pPr>
    </w:p>
    <w:p>
      <w:pPr>
        <w:spacing w:after="160" w:line="300"/>
      </w:pPr>
      <w:r>
        <w:rPr>
          <w:rFonts w:ascii="Tenorite" w:cs="Tenorite" w:eastAsia="Tenorite" w:hAnsi="Tenorite"/>
          <w:color w:val="000000"/>
          <w:sz w:val="21"/>
          <w:szCs w:val="21"/>
        </w:rPr>
        <w:t xml:space="preserve">Confidence distribution: </w:t>
      </w:r>
      <w:r>
        <w:rPr>
          <w:rFonts w:ascii="Tenorite" w:cs="Tenorite" w:eastAsia="Tenorite" w:hAnsi="Tenorite"/>
          <w:b/>
          <w:bCs/>
          <w:color w:val="000000"/>
          <w:sz w:val="21"/>
          <w:szCs w:val="21"/>
        </w:rPr>
        <w:t xml:space="preserve">high 321, medium 24, low 1</w:t>
      </w:r>
      <w:r>
        <w:rPr>
          <w:rFonts w:ascii="Tenorite" w:cs="Tenorite" w:eastAsia="Tenorite" w:hAnsi="Tenorite"/>
          <w:color w:val="000000"/>
          <w:sz w:val="21"/>
          <w:szCs w:val="21"/>
        </w:rPr>
        <w:t xml:space="preserve"> (out of 346); classification: </w:t>
      </w:r>
      <w:r>
        <w:rPr>
          <w:rFonts w:ascii="Tenorite" w:cs="Tenorite" w:eastAsia="Tenorite" w:hAnsi="Tenorite"/>
          <w:b/>
          <w:bCs/>
          <w:color w:val="000000"/>
          <w:sz w:val="21"/>
          <w:szCs w:val="21"/>
        </w:rPr>
        <w:t xml:space="preserve">Explicit 331, Inferred 15, Assumed 0</w:t>
      </w:r>
      <w:r>
        <w:rPr>
          <w:rFonts w:ascii="Tenorite" w:cs="Tenorite" w:eastAsia="Tenorite" w:hAnsi="Tenorite"/>
          <w:color w:val="000000"/>
          <w:sz w:val="21"/>
          <w:szCs w:val="21"/>
        </w:rPr>
        <w:t xml:space="preserve">. One rule cluster (BR-079 and its dependents, the security-question verification model) carries an explicit caveat in the source: it is single-source, only 65% of its source recording was recoverable due to audio damage, and it has zero corroboration elsewhere in the 83-document corpus — flagged as "use with conditions" rather than an agreed rule.</w:t>
      </w:r>
    </w:p>
    <w:p>
      <w:pPr>
        <w:pStyle w:val="Heading3"/>
        <w:spacing w:after="100" w:before="200"/>
      </w:pPr>
      <w:r>
        <w:t xml:space="preserve">Representative rules (paraphrased, with IDs)</w:t>
      </w:r>
    </w:p>
    <w:p>
      <w:pPr>
        <w:spacing w:after="160" w:line="300"/>
      </w:pPr>
      <w:r>
        <w:rPr>
          <w:rFonts w:ascii="Tenorite" w:cs="Tenorite" w:eastAsia="Tenorite" w:hAnsi="Tenorite"/>
          <w:b/>
          <w:bCs/>
          <w:color w:val="000000"/>
          <w:sz w:val="21"/>
          <w:szCs w:val="21"/>
        </w:rPr>
        <w:t xml:space="preserve">Validation</w:t>
      </w:r>
    </w:p>
    <w:p>
      <w:pPr>
        <w:pStyle w:val="ListParagraph"/>
        <w:numPr>
          <w:ilvl w:val="0"/>
          <w:numId w:val="1"/>
        </w:numPr>
        <w:spacing w:after="80"/>
      </w:pPr>
      <w:r>
        <w:rPr>
          <w:rFonts w:ascii="Tenorite" w:cs="Tenorite" w:eastAsia="Tenorite" w:hAnsi="Tenorite"/>
          <w:color w:val="000000"/>
          <w:sz w:val="21"/>
          <w:szCs w:val="21"/>
        </w:rPr>
        <w:t xml:space="preserve">BR-131/132/133/134: Format rules for identity/contact fields — mobile numbers must start with country code 974 and be 11 digits; QID must be 11 numeric digits; passport 4-20 alphanumeric characters; GCC ID 8-20 numeric characters.</w:t>
      </w:r>
    </w:p>
    <w:p>
      <w:pPr>
        <w:pStyle w:val="ListParagraph"/>
        <w:numPr>
          <w:ilvl w:val="0"/>
          <w:numId w:val="1"/>
        </w:numPr>
        <w:spacing w:after="80"/>
      </w:pPr>
      <w:r>
        <w:rPr>
          <w:rFonts w:ascii="Tenorite" w:cs="Tenorite" w:eastAsia="Tenorite" w:hAnsi="Tenorite"/>
          <w:color w:val="000000"/>
          <w:sz w:val="21"/>
          <w:szCs w:val="21"/>
        </w:rPr>
        <w:t xml:space="preserve">BR-168: Qatari ID front and back photo uploads are mandatory before an order can proceed.</w:t>
      </w:r>
    </w:p>
    <w:p>
      <w:pPr>
        <w:pStyle w:val="ListParagraph"/>
        <w:numPr>
          <w:ilvl w:val="0"/>
          <w:numId w:val="1"/>
        </w:numPr>
        <w:spacing w:after="80"/>
      </w:pPr>
      <w:r>
        <w:rPr>
          <w:rFonts w:ascii="Tenorite" w:cs="Tenorite" w:eastAsia="Tenorite" w:hAnsi="Tenorite"/>
          <w:color w:val="000000"/>
          <w:sz w:val="21"/>
          <w:szCs w:val="21"/>
        </w:rPr>
        <w:t xml:space="preserve">BR-178/179/180: SIM serial numbers must be exactly 19 digits, must exist in the UIM inventory system, and must not already be assigned to another customer.</w:t>
      </w:r>
    </w:p>
    <w:p>
      <w:pPr>
        <w:pStyle w:val="ListParagraph"/>
        <w:numPr>
          <w:ilvl w:val="0"/>
          <w:numId w:val="1"/>
        </w:numPr>
        <w:spacing w:after="80"/>
      </w:pPr>
      <w:r>
        <w:rPr>
          <w:rFonts w:ascii="Tenorite" w:cs="Tenorite" w:eastAsia="Tenorite" w:hAnsi="Tenorite"/>
          <w:color w:val="000000"/>
          <w:sz w:val="21"/>
          <w:szCs w:val="21"/>
        </w:rPr>
        <w:t xml:space="preserve">BR-077: In retail, the customer must be physically present with a valid QID, which must be scanned and matched by the agent for every transaction.</w:t>
      </w:r>
    </w:p>
    <w:p>
      <w:pPr>
        <w:spacing w:after="160" w:line="300"/>
      </w:pPr>
      <w:r>
        <w:rPr>
          <w:rFonts w:ascii="Tenorite" w:cs="Tenorite" w:eastAsia="Tenorite" w:hAnsi="Tenorite"/>
          <w:b/>
          <w:bCs/>
          <w:color w:val="000000"/>
          <w:sz w:val="21"/>
          <w:szCs w:val="21"/>
        </w:rPr>
        <w:t xml:space="preserve">Eligibility</w:t>
      </w:r>
    </w:p>
    <w:p>
      <w:pPr>
        <w:pStyle w:val="ListParagraph"/>
        <w:numPr>
          <w:ilvl w:val="0"/>
          <w:numId w:val="1"/>
        </w:numPr>
        <w:spacing w:after="80"/>
      </w:pPr>
      <w:r>
        <w:rPr>
          <w:rFonts w:ascii="Tenorite" w:cs="Tenorite" w:eastAsia="Tenorite" w:hAnsi="Tenorite"/>
          <w:color w:val="000000"/>
          <w:sz w:val="21"/>
          <w:szCs w:val="21"/>
        </w:rPr>
        <w:t xml:space="preserve">BR-003: "Try &amp; Buy" customers who disconnect within 30 days waive disconnection charges only if the set-top box is returned in good condition; otherwise a QAR 165 penalty applies.</w:t>
      </w:r>
    </w:p>
    <w:p>
      <w:pPr>
        <w:pStyle w:val="ListParagraph"/>
        <w:numPr>
          <w:ilvl w:val="0"/>
          <w:numId w:val="1"/>
        </w:numPr>
        <w:spacing w:after="80"/>
      </w:pPr>
      <w:r>
        <w:rPr>
          <w:rFonts w:ascii="Tenorite" w:cs="Tenorite" w:eastAsia="Tenorite" w:hAnsi="Tenorite"/>
          <w:color w:val="000000"/>
          <w:sz w:val="21"/>
          <w:szCs w:val="21"/>
        </w:rPr>
        <w:t xml:space="preserve">BR-047: Consumer MNP conditional acceptance is automatically triggered when the billed-due amount exceeds QAR 100.</w:t>
      </w:r>
    </w:p>
    <w:p>
      <w:pPr>
        <w:pStyle w:val="ListParagraph"/>
        <w:numPr>
          <w:ilvl w:val="0"/>
          <w:numId w:val="1"/>
        </w:numPr>
        <w:spacing w:after="80"/>
      </w:pPr>
      <w:r>
        <w:rPr>
          <w:rFonts w:ascii="Tenorite" w:cs="Tenorite" w:eastAsia="Tenorite" w:hAnsi="Tenorite"/>
          <w:color w:val="000000"/>
          <w:sz w:val="21"/>
          <w:szCs w:val="21"/>
        </w:rPr>
        <w:t xml:space="preserve">BR-071: A consumer can hold at most two billing profiles (one postpaid, one prepaid); enterprises can hold more.</w:t>
      </w:r>
    </w:p>
    <w:p>
      <w:pPr>
        <w:spacing w:after="160" w:line="300"/>
      </w:pPr>
      <w:r>
        <w:rPr>
          <w:rFonts w:ascii="Tenorite" w:cs="Tenorite" w:eastAsia="Tenorite" w:hAnsi="Tenorite"/>
          <w:b/>
          <w:bCs/>
          <w:color w:val="000000"/>
          <w:sz w:val="21"/>
          <w:szCs w:val="21"/>
        </w:rPr>
        <w:t xml:space="preserve">Routing</w:t>
      </w:r>
    </w:p>
    <w:p>
      <w:pPr>
        <w:pStyle w:val="ListParagraph"/>
        <w:numPr>
          <w:ilvl w:val="0"/>
          <w:numId w:val="1"/>
        </w:numPr>
        <w:spacing w:after="80"/>
      </w:pPr>
      <w:r>
        <w:rPr>
          <w:rFonts w:ascii="Tenorite" w:cs="Tenorite" w:eastAsia="Tenorite" w:hAnsi="Tenorite"/>
          <w:color w:val="000000"/>
          <w:sz w:val="21"/>
          <w:szCs w:val="21"/>
        </w:rPr>
        <w:t xml:space="preserve">BR-028: Fibre takes precedence over 5G — but today this is enforced manually via offline email, not by the system.</w:t>
      </w:r>
    </w:p>
    <w:p>
      <w:pPr>
        <w:pStyle w:val="ListParagraph"/>
        <w:numPr>
          <w:ilvl w:val="0"/>
          <w:numId w:val="1"/>
        </w:numPr>
        <w:spacing w:after="80"/>
      </w:pPr>
      <w:r>
        <w:rPr>
          <w:rFonts w:ascii="Tenorite" w:cs="Tenorite" w:eastAsia="Tenorite" w:hAnsi="Tenorite"/>
          <w:color w:val="000000"/>
          <w:sz w:val="21"/>
          <w:szCs w:val="21"/>
        </w:rPr>
        <w:t xml:space="preserve">BR-039: The MNP porting window is Sunday-Thursday, 11am-12pm, a shared hour in which the donor operator disconnects and Vodafone connects; requests submitted before 10:45am make that day's window.</w:t>
      </w:r>
    </w:p>
    <w:p>
      <w:pPr>
        <w:pStyle w:val="ListParagraph"/>
        <w:numPr>
          <w:ilvl w:val="0"/>
          <w:numId w:val="1"/>
        </w:numPr>
        <w:spacing w:after="80"/>
      </w:pPr>
      <w:r>
        <w:rPr>
          <w:rFonts w:ascii="Tenorite" w:cs="Tenorite" w:eastAsia="Tenorite" w:hAnsi="Tenorite"/>
          <w:color w:val="000000"/>
          <w:sz w:val="21"/>
          <w:szCs w:val="21"/>
        </w:rPr>
        <w:t xml:space="preserve">BR-044: After a number ports in, a three-stage dunning ladder runs on the final bill: outgoing bar at day 31, incoming bar at day 45, then disconnection plus a 30-day quarantine.</w:t>
      </w:r>
    </w:p>
    <w:p>
      <w:pPr>
        <w:spacing w:after="160" w:line="300"/>
      </w:pPr>
      <w:r>
        <w:rPr>
          <w:rFonts w:ascii="Tenorite" w:cs="Tenorite" w:eastAsia="Tenorite" w:hAnsi="Tenorite"/>
          <w:b/>
          <w:bCs/>
          <w:color w:val="000000"/>
          <w:sz w:val="21"/>
          <w:szCs w:val="21"/>
        </w:rPr>
        <w:t xml:space="preserve">Derivation</w:t>
      </w:r>
    </w:p>
    <w:p>
      <w:pPr>
        <w:pStyle w:val="ListParagraph"/>
        <w:numPr>
          <w:ilvl w:val="0"/>
          <w:numId w:val="1"/>
        </w:numPr>
        <w:spacing w:after="80"/>
      </w:pPr>
      <w:r>
        <w:rPr>
          <w:rFonts w:ascii="Tenorite" w:cs="Tenorite" w:eastAsia="Tenorite" w:hAnsi="Tenorite"/>
          <w:color w:val="000000"/>
          <w:sz w:val="21"/>
          <w:szCs w:val="21"/>
        </w:rPr>
        <w:t xml:space="preserve">BR-009: Adjustment reasons are lost after 6 months due to BRM's "6 plus 1" event purge policy — the underlying charge data survives, but the reason text does not.</w:t>
      </w:r>
    </w:p>
    <w:p>
      <w:pPr>
        <w:pStyle w:val="ListParagraph"/>
        <w:numPr>
          <w:ilvl w:val="0"/>
          <w:numId w:val="1"/>
        </w:numPr>
        <w:spacing w:after="80"/>
      </w:pPr>
      <w:r>
        <w:rPr>
          <w:rFonts w:ascii="Tenorite" w:cs="Tenorite" w:eastAsia="Tenorite" w:hAnsi="Tenorite"/>
          <w:color w:val="000000"/>
          <w:sz w:val="21"/>
          <w:szCs w:val="21"/>
        </w:rPr>
        <w:t xml:space="preserve">BR-019: Customer segmentation (SOHO/SME/Large Enterprise/Government) is a manual business judgment call with no automated system rule.</w:t>
      </w:r>
    </w:p>
    <w:p>
      <w:pPr>
        <w:spacing w:after="160" w:line="300"/>
      </w:pPr>
      <w:r>
        <w:rPr>
          <w:rFonts w:ascii="Tenorite" w:cs="Tenorite" w:eastAsia="Tenorite" w:hAnsi="Tenorite"/>
          <w:b/>
          <w:bCs/>
          <w:color w:val="000000"/>
          <w:sz w:val="21"/>
          <w:szCs w:val="21"/>
        </w:rPr>
        <w:t xml:space="preserve">Calculation</w:t>
      </w:r>
    </w:p>
    <w:p>
      <w:pPr>
        <w:pStyle w:val="ListParagraph"/>
        <w:numPr>
          <w:ilvl w:val="0"/>
          <w:numId w:val="1"/>
        </w:numPr>
        <w:spacing w:after="80"/>
      </w:pPr>
      <w:r>
        <w:rPr>
          <w:rFonts w:ascii="Tenorite" w:cs="Tenorite" w:eastAsia="Tenorite" w:hAnsi="Tenorite"/>
          <w:color w:val="000000"/>
          <w:sz w:val="21"/>
          <w:szCs w:val="21"/>
        </w:rPr>
        <w:t xml:space="preserve">BR-001: Disconnecting Fibre before the 12-month lock-in completes triggers a fee equal to the remaining 3-month minimum period plus QAR 80 per remaining month.</w:t>
      </w:r>
    </w:p>
    <w:p>
      <w:pPr>
        <w:pStyle w:val="ListParagraph"/>
        <w:numPr>
          <w:ilvl w:val="0"/>
          <w:numId w:val="1"/>
        </w:numPr>
        <w:spacing w:after="80"/>
      </w:pPr>
      <w:r>
        <w:rPr>
          <w:rFonts w:ascii="Tenorite" w:cs="Tenorite" w:eastAsia="Tenorite" w:hAnsi="Tenorite"/>
          <w:color w:val="000000"/>
          <w:sz w:val="21"/>
          <w:szCs w:val="21"/>
        </w:rPr>
        <w:t xml:space="preserve">BR-070: Migrating from postpaid to prepaid carries a QAR 100 fee.</w:t>
      </w:r>
    </w:p>
    <w:p>
      <w:pPr>
        <w:pStyle w:val="ListParagraph"/>
        <w:numPr>
          <w:ilvl w:val="0"/>
          <w:numId w:val="1"/>
        </w:numPr>
        <w:spacing w:after="80"/>
      </w:pPr>
      <w:r>
        <w:rPr>
          <w:rFonts w:ascii="Tenorite" w:cs="Tenorite" w:eastAsia="Tenorite" w:hAnsi="Tenorite"/>
          <w:color w:val="000000"/>
          <w:sz w:val="21"/>
          <w:szCs w:val="21"/>
        </w:rPr>
        <w:t xml:space="preserve">BR-125: Star (premium) numbers carry lock-in commitments tiered by value — 1 year for QAR 1,500-19,999 numbers, 2 years for QAR 20,000+.</w:t>
      </w:r>
    </w:p>
    <w:p>
      <w:pPr>
        <w:spacing w:after="160" w:line="300"/>
      </w:pPr>
      <w:r>
        <w:rPr>
          <w:rFonts w:ascii="Tenorite" w:cs="Tenorite" w:eastAsia="Tenorite" w:hAnsi="Tenorite"/>
          <w:b/>
          <w:bCs/>
          <w:color w:val="000000"/>
          <w:sz w:val="21"/>
          <w:szCs w:val="21"/>
        </w:rPr>
        <w:t xml:space="preserve">Permission</w:t>
      </w:r>
    </w:p>
    <w:p>
      <w:pPr>
        <w:pStyle w:val="ListParagraph"/>
        <w:numPr>
          <w:ilvl w:val="0"/>
          <w:numId w:val="1"/>
        </w:numPr>
        <w:spacing w:after="80"/>
      </w:pPr>
      <w:r>
        <w:rPr>
          <w:rFonts w:ascii="Tenorite" w:cs="Tenorite" w:eastAsia="Tenorite" w:hAnsi="Tenorite"/>
          <w:color w:val="000000"/>
          <w:sz w:val="21"/>
          <w:szCs w:val="21"/>
        </w:rPr>
        <w:t xml:space="preserve">BR-062: Transfer of Ownership requires four sequential approvals routed to the CDM team (prepaid only) — a fraud control built after a real fraud case where one person collected payment from two different buyers for the same number.</w:t>
      </w:r>
    </w:p>
    <w:p>
      <w:pPr>
        <w:pStyle w:val="ListParagraph"/>
        <w:numPr>
          <w:ilvl w:val="0"/>
          <w:numId w:val="1"/>
        </w:numPr>
        <w:spacing w:after="80"/>
      </w:pPr>
      <w:r>
        <w:rPr>
          <w:rFonts w:ascii="Tenorite" w:cs="Tenorite" w:eastAsia="Tenorite" w:hAnsi="Tenorite"/>
          <w:color w:val="000000"/>
          <w:sz w:val="21"/>
          <w:szCs w:val="21"/>
        </w:rPr>
        <w:t xml:space="preserve">BR-057: SIM swap approval requirements vary by channel: Retail needs approval, form, and ID attachment; the self-service app needs neither once eKYC is complete.</w:t>
      </w:r>
    </w:p>
    <w:p>
      <w:pPr>
        <w:spacing w:after="160" w:line="300"/>
      </w:pPr>
      <w:r>
        <w:rPr>
          <w:rFonts w:ascii="Tenorite" w:cs="Tenorite" w:eastAsia="Tenorite" w:hAnsi="Tenorite"/>
          <w:b/>
          <w:bCs/>
          <w:color w:val="000000"/>
          <w:sz w:val="21"/>
          <w:szCs w:val="21"/>
        </w:rPr>
        <w:t xml:space="preserve">Visibility</w:t>
      </w:r>
    </w:p>
    <w:p>
      <w:pPr>
        <w:pStyle w:val="ListParagraph"/>
        <w:numPr>
          <w:ilvl w:val="0"/>
          <w:numId w:val="1"/>
        </w:numPr>
        <w:spacing w:after="80"/>
      </w:pPr>
      <w:r>
        <w:rPr>
          <w:rFonts w:ascii="Tenorite" w:cs="Tenorite" w:eastAsia="Tenorite" w:hAnsi="Tenorite"/>
          <w:color w:val="000000"/>
          <w:sz w:val="21"/>
          <w:szCs w:val="21"/>
        </w:rPr>
        <w:t xml:space="preserve">BR-067: An audit trail exists on tickets and account tabs but is deliberately hidden from front-line agents.</w:t>
      </w:r>
    </w:p>
    <w:p>
      <w:pPr>
        <w:pStyle w:val="ListParagraph"/>
        <w:numPr>
          <w:ilvl w:val="0"/>
          <w:numId w:val="1"/>
        </w:numPr>
        <w:spacing w:after="80"/>
      </w:pPr>
      <w:r>
        <w:rPr>
          <w:rFonts w:ascii="Tenorite" w:cs="Tenorite" w:eastAsia="Tenorite" w:hAnsi="Tenorite"/>
          <w:color w:val="000000"/>
          <w:sz w:val="21"/>
          <w:szCs w:val="21"/>
        </w:rPr>
        <w:t xml:space="preserve">BR-240: The "My Leads" view is scoped to the current lead owner (a reassigned lead disappears from the old owner's view), while "My Created Leads" stays scoped to whoever originally created it.</w:t>
      </w:r>
    </w:p>
    <w:p>
      <w:pPr>
        <w:pStyle w:val="Heading2"/>
        <w:spacing w:after="120" w:before="260"/>
      </w:pPr>
      <w:r>
        <w:t xml:space="preserve">4. Requirements Summary</w:t>
      </w:r>
    </w:p>
    <w:p>
      <w:pPr>
        <w:spacing w:after="160" w:line="300"/>
      </w:pPr>
      <w:r>
        <w:rPr>
          <w:rFonts w:ascii="Tenorite" w:cs="Tenorite" w:eastAsia="Tenorite" w:hAnsi="Tenorite"/>
          <w:color w:val="000000"/>
          <w:sz w:val="21"/>
          <w:szCs w:val="21"/>
        </w:rPr>
        <w:t xml:space="preserve">The 308 requirements span 9 types. Confidence: </w:t>
      </w:r>
      <w:r>
        <w:rPr>
          <w:rFonts w:ascii="Tenorite" w:cs="Tenorite" w:eastAsia="Tenorite" w:hAnsi="Tenorite"/>
          <w:b/>
          <w:bCs/>
          <w:color w:val="000000"/>
          <w:sz w:val="21"/>
          <w:szCs w:val="21"/>
        </w:rPr>
        <w:t xml:space="preserve">high 280, medium 27, low 1</w:t>
      </w:r>
      <w:r>
        <w:rPr>
          <w:rFonts w:ascii="Tenorite" w:cs="Tenorite" w:eastAsia="Tenorite" w:hAnsi="Tenorite"/>
          <w:color w:val="000000"/>
          <w:sz w:val="21"/>
          <w:szCs w:val="21"/>
        </w:rPr>
        <w:t xml:space="preserve">; classification: </w:t>
      </w:r>
      <w:r>
        <w:rPr>
          <w:rFonts w:ascii="Tenorite" w:cs="Tenorite" w:eastAsia="Tenorite" w:hAnsi="Tenorite"/>
          <w:b/>
          <w:bCs/>
          <w:color w:val="000000"/>
          <w:sz w:val="21"/>
          <w:szCs w:val="21"/>
        </w:rPr>
        <w:t xml:space="preserve">Explicit 307, Inferred 1, Assumed 0</w:t>
      </w:r>
      <w:r>
        <w:rPr>
          <w:rFonts w:ascii="Tenorite" w:cs="Tenorite" w:eastAsia="Tenorite" w:hAnsi="Tenorite"/>
          <w:color w:val="000000"/>
          <w:sz w:val="21"/>
          <w:szCs w:val="21"/>
        </w:rPr>
        <w:t xml:space="preserve">.</w:t>
      </w:r>
    </w:p>
    <w:tbl>
      <w:tblPr>
        <w:tblW w:type="dxa" w:w="9350"/>
        <w:tblBorders>
          <w:top w:val="single" w:color="BFBFBF" w:sz="4"/>
          <w:left w:val="single" w:color="BFBFBF" w:sz="4"/>
          <w:bottom w:val="single" w:color="BFBFBF" w:sz="4"/>
          <w:right w:val="single" w:color="BFBFBF" w:sz="4"/>
          <w:insideH w:val="single" w:color="D9D9D9" w:sz="4"/>
          <w:insideV w:val="single" w:color="D9D9D9" w:sz="4"/>
        </w:tblBorders>
      </w:tblPr>
      <w:tblGrid>
        <w:gridCol w:w="3116"/>
        <w:gridCol w:w="3116"/>
        <w:gridCol w:w="3116"/>
      </w:tblGrid>
      <w:tr>
        <w:trPr>
          <w:tblHeader/>
        </w:trPr>
        <w:tc>
          <w:tcPr>
            <w:tcW w:type="dxa" w:w="3116"/>
            <w:shd w:fill="E8E8E8" w:val="clear"/>
            <w:tcMar>
              <w:top w:type="dxa" w:w="60"/>
              <w:left w:type="dxa" w:w="100"/>
              <w:bottom w:type="dxa" w:w="60"/>
              <w:right w:type="dxa" w:w="100"/>
            </w:tcMar>
            <w:vAlign w:val="center"/>
          </w:tcPr>
          <w:p>
            <w:pPr>
              <w:spacing w:after="0"/>
            </w:pPr>
            <w:r>
              <w:rPr>
                <w:rFonts w:ascii="Tenorite" w:cs="Tenorite" w:eastAsia="Tenorite" w:hAnsi="Tenorite"/>
                <w:b/>
                <w:bCs/>
                <w:color w:val="7030A0"/>
                <w:sz w:val="18"/>
                <w:szCs w:val="18"/>
              </w:rPr>
              <w:t xml:space="preserve">Requirement Type</w:t>
            </w:r>
          </w:p>
        </w:tc>
        <w:tc>
          <w:tcPr>
            <w:tcW w:type="dxa" w:w="3116"/>
            <w:shd w:fill="E8E8E8" w:val="clear"/>
            <w:tcMar>
              <w:top w:type="dxa" w:w="60"/>
              <w:left w:type="dxa" w:w="100"/>
              <w:bottom w:type="dxa" w:w="60"/>
              <w:right w:type="dxa" w:w="100"/>
            </w:tcMar>
            <w:vAlign w:val="center"/>
          </w:tcPr>
          <w:p>
            <w:pPr>
              <w:spacing w:after="0"/>
            </w:pPr>
            <w:r>
              <w:rPr>
                <w:rFonts w:ascii="Tenorite" w:cs="Tenorite" w:eastAsia="Tenorite" w:hAnsi="Tenorite"/>
                <w:b/>
                <w:bCs/>
                <w:color w:val="7030A0"/>
                <w:sz w:val="18"/>
                <w:szCs w:val="18"/>
              </w:rPr>
              <w:t xml:space="preserve">Count</w:t>
            </w:r>
          </w:p>
        </w:tc>
        <w:tc>
          <w:tcPr>
            <w:tcW w:type="dxa" w:w="3116"/>
            <w:shd w:fill="E8E8E8" w:val="clear"/>
            <w:tcMar>
              <w:top w:type="dxa" w:w="60"/>
              <w:left w:type="dxa" w:w="100"/>
              <w:bottom w:type="dxa" w:w="60"/>
              <w:right w:type="dxa" w:w="100"/>
            </w:tcMar>
            <w:vAlign w:val="center"/>
          </w:tcPr>
          <w:p>
            <w:pPr>
              <w:spacing w:after="0"/>
            </w:pPr>
            <w:r>
              <w:rPr>
                <w:rFonts w:ascii="Tenorite" w:cs="Tenorite" w:eastAsia="Tenorite" w:hAnsi="Tenorite"/>
                <w:b/>
                <w:bCs/>
                <w:color w:val="7030A0"/>
                <w:sz w:val="18"/>
                <w:szCs w:val="18"/>
              </w:rPr>
              <w:t xml:space="preserve">Representative Examples</w:t>
            </w:r>
          </w:p>
        </w:tc>
      </w:tr>
      <w:tr>
        <w:tc>
          <w:tcPr>
            <w:tcW w:type="dxa" w:w="3116"/>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Functional</w:t>
            </w:r>
          </w:p>
        </w:tc>
        <w:tc>
          <w:tcPr>
            <w:tcW w:type="dxa" w:w="3116"/>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78</w:t>
            </w:r>
          </w:p>
        </w:tc>
        <w:tc>
          <w:tcPr>
            <w:tcW w:type="dxa" w:w="3116"/>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REQ-003: DXP needs a bulk adjustment portal integrated with BRM, with templates, approvals, and failure reports. REQ-174: CAF generation must offer Digital, Manual, and Touch-Screen variants. REQ-292: Agents need a unified "Customer 360" search by customer number, contact number, or MSISDN.</w:t>
            </w:r>
          </w:p>
        </w:tc>
      </w:tr>
      <w:tr>
        <w:tc>
          <w:tcPr>
            <w:tcW w:type="dxa" w:w="3116"/>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Business</w:t>
            </w:r>
          </w:p>
        </w:tc>
        <w:tc>
          <w:tcPr>
            <w:tcW w:type="dxa" w:w="3116"/>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53</w:t>
            </w:r>
          </w:p>
        </w:tc>
        <w:tc>
          <w:tcPr>
            <w:tcW w:type="dxa" w:w="3116"/>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REQ-011: Accounts/services must always be created at the correct activation date, never back-dated, for tax-compliance reasons. REQ-032: Enterprise customers want quarterly/half-yearly/yearly billing cycles, not just monthly. REQ-116: Direct-marketing consent must include a USSD opt-out code.</w:t>
            </w:r>
          </w:p>
        </w:tc>
      </w:tr>
      <w:tr>
        <w:tc>
          <w:tcPr>
            <w:tcW w:type="dxa" w:w="3116"/>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Validation</w:t>
            </w:r>
          </w:p>
        </w:tc>
        <w:tc>
          <w:tcPr>
            <w:tcW w:type="dxa" w:w="3116"/>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44</w:t>
            </w:r>
          </w:p>
        </w:tc>
        <w:tc>
          <w:tcPr>
            <w:tcW w:type="dxa" w:w="3116"/>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REQ-097: Address line 1 must be split into discrete, KID/ZSB-searchable fields without breaking existing loading/invoicing processes; most validation-type items are captured as rules in the Business Rules catalogue rather than duplicated here.</w:t>
            </w:r>
          </w:p>
        </w:tc>
      </w:tr>
      <w:tr>
        <w:tc>
          <w:tcPr>
            <w:tcW w:type="dxa" w:w="3116"/>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Workflow</w:t>
            </w:r>
          </w:p>
        </w:tc>
        <w:tc>
          <w:tcPr>
            <w:tcW w:type="dxa" w:w="3116"/>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38</w:t>
            </w:r>
          </w:p>
        </w:tc>
        <w:tc>
          <w:tcPr>
            <w:tcW w:type="dxa" w:w="3116"/>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Guided, multi-step processes such as MNP port-in, FWA installation, and order-approval sequencing (see journey-level detail in Business Processes &amp; Workflows).</w:t>
            </w:r>
          </w:p>
        </w:tc>
      </w:tr>
      <w:tr>
        <w:tc>
          <w:tcPr>
            <w:tcW w:type="dxa" w:w="3116"/>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UI</w:t>
            </w:r>
          </w:p>
        </w:tc>
        <w:tc>
          <w:tcPr>
            <w:tcW w:type="dxa" w:w="3116"/>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31</w:t>
            </w:r>
          </w:p>
        </w:tc>
        <w:tc>
          <w:tcPr>
            <w:tcW w:type="dxa" w:w="3116"/>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REQ-191: Agents must be able to edit Bill Limit and Credit Limit from a bounded preset list during plan selection. REQ-215: CAF attachment upload must support adding and deleting files, not just single upload.</w:t>
            </w:r>
          </w:p>
        </w:tc>
      </w:tr>
      <w:tr>
        <w:tc>
          <w:tcPr>
            <w:tcW w:type="dxa" w:w="3116"/>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Integration</w:t>
            </w:r>
          </w:p>
        </w:tc>
        <w:tc>
          <w:tcPr>
            <w:tcW w:type="dxa" w:w="3116"/>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29</w:t>
            </w:r>
          </w:p>
        </w:tc>
        <w:tc>
          <w:tcPr>
            <w:tcW w:type="dxa" w:w="3116"/>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REQ-020: Bulk activation needs a new Oracle bulk utility API replacing the old Excel-macro-based process. REQ-107: Digital eSIM issuance needs virtual/dummy SKUs so it doesn't wrongly deplete physical SIM inventory.</w:t>
            </w:r>
          </w:p>
        </w:tc>
      </w:tr>
      <w:tr>
        <w:tc>
          <w:tcPr>
            <w:tcW w:type="dxa" w:w="3116"/>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NonFunctional</w:t>
            </w:r>
          </w:p>
        </w:tc>
        <w:tc>
          <w:tcPr>
            <w:tcW w:type="dxa" w:w="3116"/>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16</w:t>
            </w:r>
          </w:p>
        </w:tc>
        <w:tc>
          <w:tcPr>
            <w:tcW w:type="dxa" w:w="3116"/>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REQ-034: Large enterprise account, Billing Profile, and CDR pages need a performance fix — they currently hang. REQ-118: The full stack-modernization delivery must cover an estimated 1,991 screens (1,815 desktop, 176 tablet).</w:t>
            </w:r>
          </w:p>
        </w:tc>
      </w:tr>
      <w:tr>
        <w:tc>
          <w:tcPr>
            <w:tcW w:type="dxa" w:w="3116"/>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Security</w:t>
            </w:r>
          </w:p>
        </w:tc>
        <w:tc>
          <w:tcPr>
            <w:tcW w:type="dxa" w:w="3116"/>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14</w:t>
            </w:r>
          </w:p>
        </w:tc>
        <w:tc>
          <w:tcPr>
            <w:tcW w:type="dxa" w:w="3116"/>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REQ-013: A dedicated audit-trail screen must capture who changed a billing profile name or recipient email. REQ-054: Replace Siebel's 5-profile access model with a modern role/team-based access model.</w:t>
            </w:r>
          </w:p>
        </w:tc>
      </w:tr>
      <w:tr>
        <w:tc>
          <w:tcPr>
            <w:tcW w:type="dxa" w:w="3116"/>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Reporting</w:t>
            </w:r>
          </w:p>
        </w:tc>
        <w:tc>
          <w:tcPr>
            <w:tcW w:type="dxa" w:w="3116"/>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5</w:t>
            </w:r>
          </w:p>
        </w:tc>
        <w:tc>
          <w:tcPr>
            <w:tcW w:type="dxa" w:w="3116"/>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REQ-006: Statement of Account must show full history from inception, automated (today it's a manual Excel process via service request). REQ-070: Supervisors need visibility across all agents' tickets — no such view exists today.</w:t>
            </w:r>
          </w:p>
        </w:tc>
      </w:tr>
    </w:tbl>
    <w:p>
      <w:pPr>
        <w:spacing w:after="200"/>
      </w:pPr>
    </w:p>
    <w:p>
      <w:pPr>
        <w:spacing w:after="160" w:line="300"/>
      </w:pPr>
      <w:r>
        <w:rPr>
          <w:rFonts w:ascii="Tenorite" w:cs="Tenorite" w:eastAsia="Tenorite" w:hAnsi="Tenorite"/>
          <w:b/>
          <w:bCs/>
          <w:color w:val="000000"/>
          <w:sz w:val="21"/>
          <w:szCs w:val="21"/>
        </w:rPr>
        <w:t xml:space="preserve">Additional Business-type examples</w:t>
      </w:r>
      <w:r>
        <w:rPr>
          <w:rFonts w:ascii="Tenorite" w:cs="Tenorite" w:eastAsia="Tenorite" w:hAnsi="Tenorite"/>
          <w:color w:val="000000"/>
          <w:sz w:val="21"/>
          <w:szCs w:val="21"/>
        </w:rPr>
        <w:t xml:space="preserve">, illustrating the range of the 53-item category: REQ-021 (volumetric discounts have no automatic downgrade when connections drop — flagged as the key revenue-leakage pain point); REQ-032 (enterprise customers want quarterly/half-yearly/yearly billing cycles); REQ-060 (bill-cycle-change eligibility must be configurable, not hard-coded); REQ-063 (automate TON approvals via business rules, limiting human involvement to exceptions); REQ-124 (Fair Usage Policy throttling on 5G Home plans — 1TB/2TB/10TB tiers, throttled to 1Mbps after exhaustion); REQ-125 (plan/device lock-in with early-termination penalty — 500 QAR fee, or CPE return/800 QAR charge).</w:t>
      </w:r>
    </w:p>
    <w:p>
      <w:pPr>
        <w:pStyle w:val="Heading2"/>
        <w:spacing w:after="120" w:before="260"/>
      </w:pPr>
      <w:r>
        <w:t xml:space="preserve">5. Priorities</w:t>
      </w:r>
    </w:p>
    <w:p>
      <w:pPr>
        <w:spacing w:after="160" w:line="300"/>
      </w:pPr>
      <w:r>
        <w:rPr>
          <w:rFonts w:ascii="Tenorite" w:cs="Tenorite" w:eastAsia="Tenorite" w:hAnsi="Tenorite"/>
          <w:b/>
          <w:bCs/>
          <w:color w:val="000000"/>
          <w:sz w:val="21"/>
          <w:szCs w:val="21"/>
        </w:rPr>
        <w:t xml:space="preserve">No formal prioritization scheme (MoSCoW, P0/P1/P2, or similar) is present in either source file.</w:t>
      </w:r>
      <w:r>
        <w:rPr>
          <w:rFonts w:ascii="Tenorite" w:cs="Tenorite" w:eastAsia="Tenorite" w:hAnsi="Tenorite"/>
          <w:color w:val="000000"/>
          <w:sz w:val="21"/>
          <w:szCs w:val="21"/>
        </w:rPr>
        <w:t xml:space="preserve"> A targeted search of both </w:t>
      </w:r>
      <w:r>
        <w:rPr>
          <w:rFonts w:ascii="Tenorite" w:cs="Tenorite" w:eastAsia="Tenorite" w:hAnsi="Tenorite"/>
          <w:color w:val="000000"/>
          <w:sz w:val="21"/>
          <w:szCs w:val="21"/>
        </w:rPr>
        <w:t xml:space="preserve">requirements.md</w:t>
      </w:r>
      <w:r>
        <w:rPr>
          <w:rFonts w:ascii="Tenorite" w:cs="Tenorite" w:eastAsia="Tenorite" w:hAnsi="Tenorite"/>
          <w:color w:val="000000"/>
          <w:sz w:val="21"/>
          <w:szCs w:val="21"/>
        </w:rPr>
        <w:t xml:space="preserve"> and </w:t>
      </w:r>
      <w:r>
        <w:rPr>
          <w:rFonts w:ascii="Tenorite" w:cs="Tenorite" w:eastAsia="Tenorite" w:hAnsi="Tenorite"/>
          <w:color w:val="000000"/>
          <w:sz w:val="21"/>
          <w:szCs w:val="21"/>
        </w:rPr>
        <w:t xml:space="preserve">business-rules.md</w:t>
      </w:r>
      <w:r>
        <w:rPr>
          <w:rFonts w:ascii="Tenorite" w:cs="Tenorite" w:eastAsia="Tenorite" w:hAnsi="Tenorite"/>
          <w:color w:val="000000"/>
          <w:sz w:val="21"/>
          <w:szCs w:val="21"/>
        </w:rPr>
        <w:t xml:space="preserve"> for MoSCoW language, "Must/Should/Could Have," P0/P1 tags, or any explicit priority-level field found none — only the confidence (</w:t>
      </w:r>
      <w:r>
        <w:rPr>
          <w:rFonts w:ascii="Tenorite" w:cs="Tenorite" w:eastAsia="Tenorite" w:hAnsi="Tenorite"/>
          <w:color w:val="000000"/>
          <w:sz w:val="21"/>
          <w:szCs w:val="21"/>
        </w:rPr>
        <w:t xml:space="preserve">high</w:t>
      </w:r>
      <w:r>
        <w:rPr>
          <w:rFonts w:ascii="Tenorite" w:cs="Tenorite" w:eastAsia="Tenorite" w:hAnsi="Tenorite"/>
          <w:color w:val="000000"/>
          <w:sz w:val="21"/>
          <w:szCs w:val="21"/>
        </w:rPr>
        <w:t xml:space="preserve">/</w:t>
      </w:r>
      <w:r>
        <w:rPr>
          <w:rFonts w:ascii="Tenorite" w:cs="Tenorite" w:eastAsia="Tenorite" w:hAnsi="Tenorite"/>
          <w:color w:val="000000"/>
          <w:sz w:val="21"/>
          <w:szCs w:val="21"/>
        </w:rPr>
        <w:t xml:space="preserve">medium</w:t>
      </w:r>
      <w:r>
        <w:rPr>
          <w:rFonts w:ascii="Tenorite" w:cs="Tenorite" w:eastAsia="Tenorite" w:hAnsi="Tenorite"/>
          <w:color w:val="000000"/>
          <w:sz w:val="21"/>
          <w:szCs w:val="21"/>
        </w:rPr>
        <w:t xml:space="preserve">/</w:t>
      </w:r>
      <w:r>
        <w:rPr>
          <w:rFonts w:ascii="Tenorite" w:cs="Tenorite" w:eastAsia="Tenorite" w:hAnsi="Tenorite"/>
          <w:color w:val="000000"/>
          <w:sz w:val="21"/>
          <w:szCs w:val="21"/>
        </w:rPr>
        <w:t xml:space="preserve">low</w:t>
      </w:r>
      <w:r>
        <w:rPr>
          <w:rFonts w:ascii="Tenorite" w:cs="Tenorite" w:eastAsia="Tenorite" w:hAnsi="Tenorite"/>
          <w:color w:val="000000"/>
          <w:sz w:val="21"/>
          <w:szCs w:val="21"/>
        </w:rPr>
        <w:t xml:space="preserve">) and classification (</w:t>
      </w:r>
      <w:r>
        <w:rPr>
          <w:rFonts w:ascii="Tenorite" w:cs="Tenorite" w:eastAsia="Tenorite" w:hAnsi="Tenorite"/>
          <w:color w:val="000000"/>
          <w:sz w:val="21"/>
          <w:szCs w:val="21"/>
        </w:rPr>
        <w:t xml:space="preserve">Explicit</w:t>
      </w:r>
      <w:r>
        <w:rPr>
          <w:rFonts w:ascii="Tenorite" w:cs="Tenorite" w:eastAsia="Tenorite" w:hAnsi="Tenorite"/>
          <w:color w:val="000000"/>
          <w:sz w:val="21"/>
          <w:szCs w:val="21"/>
        </w:rPr>
        <w:t xml:space="preserve">/</w:t>
      </w:r>
      <w:r>
        <w:rPr>
          <w:rFonts w:ascii="Tenorite" w:cs="Tenorite" w:eastAsia="Tenorite" w:hAnsi="Tenorite"/>
          <w:color w:val="000000"/>
          <w:sz w:val="21"/>
          <w:szCs w:val="21"/>
        </w:rPr>
        <w:t xml:space="preserve">Inferred</w:t>
      </w:r>
      <w:r>
        <w:rPr>
          <w:rFonts w:ascii="Tenorite" w:cs="Tenorite" w:eastAsia="Tenorite" w:hAnsi="Tenorite"/>
          <w:color w:val="000000"/>
          <w:sz w:val="21"/>
          <w:szCs w:val="21"/>
        </w:rPr>
        <w:t xml:space="preserve">/</w:t>
      </w:r>
      <w:r>
        <w:rPr>
          <w:rFonts w:ascii="Tenorite" w:cs="Tenorite" w:eastAsia="Tenorite" w:hAnsi="Tenorite"/>
          <w:color w:val="000000"/>
          <w:sz w:val="21"/>
          <w:szCs w:val="21"/>
        </w:rPr>
        <w:t xml:space="preserve">Assumed</w:t>
      </w:r>
      <w:r>
        <w:rPr>
          <w:rFonts w:ascii="Tenorite" w:cs="Tenorite" w:eastAsia="Tenorite" w:hAnsi="Tenorite"/>
          <w:color w:val="000000"/>
          <w:sz w:val="21"/>
          <w:szCs w:val="21"/>
        </w:rPr>
        <w:t xml:space="preserve">) axes exist, and those describe </w:t>
      </w:r>
      <w:r>
        <w:rPr>
          <w:rFonts w:ascii="Tenorite" w:cs="Tenorite" w:eastAsia="Tenorite" w:hAnsi="Tenorite"/>
          <w:i/>
          <w:iCs/>
          <w:color w:val="000000"/>
          <w:sz w:val="21"/>
          <w:szCs w:val="21"/>
        </w:rPr>
        <w:t xml:space="preserve">evidence reliability</w:t>
      </w:r>
      <w:r>
        <w:rPr>
          <w:rFonts w:ascii="Tenorite" w:cs="Tenorite" w:eastAsia="Tenorite" w:hAnsi="Tenorite"/>
          <w:color w:val="000000"/>
          <w:sz w:val="21"/>
          <w:szCs w:val="21"/>
        </w:rPr>
        <w:t xml:space="preserve">, not </w:t>
      </w:r>
      <w:r>
        <w:rPr>
          <w:rFonts w:ascii="Tenorite" w:cs="Tenorite" w:eastAsia="Tenorite" w:hAnsi="Tenorite"/>
          <w:i/>
          <w:iCs/>
          <w:color w:val="000000"/>
          <w:sz w:val="21"/>
          <w:szCs w:val="21"/>
        </w:rPr>
        <w:t xml:space="preserve">business importance</w:t>
      </w:r>
      <w:r>
        <w:rPr>
          <w:rFonts w:ascii="Tenorite" w:cs="Tenorite" w:eastAsia="Tenorite" w:hAnsi="Tenorite"/>
          <w:color w:val="000000"/>
          <w:sz w:val="21"/>
          <w:szCs w:val="21"/>
        </w:rPr>
        <w:t xml:space="preserve">. This is a genuine gap in the discovery corpus: nothing here should be read as ranked or sequenced by priority. The one exception is REQ-246, which states consumer-segment delivery is planned before enterprise — a sequencing decision, not a priority scheme.</w:t>
      </w:r>
    </w:p>
    <w:p>
      <w:pPr>
        <w:pStyle w:val="Heading2"/>
        <w:spacing w:after="120" w:before="260"/>
      </w:pPr>
      <w:r>
        <w:t xml:space="preserve">6. Expected Business Value</w:t>
      </w:r>
    </w:p>
    <w:p>
      <w:pPr>
        <w:spacing w:after="160" w:line="300"/>
      </w:pPr>
      <w:r>
        <w:rPr>
          <w:rFonts w:ascii="Tenorite" w:cs="Tenorite" w:eastAsia="Tenorite" w:hAnsi="Tenorite"/>
          <w:color w:val="000000"/>
          <w:sz w:val="21"/>
          <w:szCs w:val="21"/>
        </w:rPr>
        <w:t xml:space="preserve">The source material does not state ROI figures or dollar-value projections, but the </w:t>
      </w:r>
      <w:r>
        <w:rPr>
          <w:rFonts w:ascii="Tenorite" w:cs="Tenorite" w:eastAsia="Tenorite" w:hAnsi="Tenorite"/>
          <w:i/>
          <w:iCs/>
          <w:color w:val="000000"/>
          <w:sz w:val="21"/>
          <w:szCs w:val="21"/>
        </w:rPr>
        <w:t xml:space="preserve">nature</w:t>
      </w:r>
      <w:r>
        <w:rPr>
          <w:rFonts w:ascii="Tenorite" w:cs="Tenorite" w:eastAsia="Tenorite" w:hAnsi="Tenorite"/>
          <w:color w:val="000000"/>
          <w:sz w:val="21"/>
          <w:szCs w:val="21"/>
        </w:rPr>
        <w:t xml:space="preserve"> of the requirements makes the intended value clear:</w:t>
      </w:r>
    </w:p>
    <w:p>
      <w:pPr>
        <w:pStyle w:val="ListParagraph"/>
        <w:numPr>
          <w:ilvl w:val="0"/>
          <w:numId w:val="1"/>
        </w:numPr>
        <w:spacing w:after="80"/>
      </w:pPr>
      <w:r>
        <w:rPr>
          <w:rFonts w:ascii="Tenorite" w:cs="Tenorite" w:eastAsia="Tenorite" w:hAnsi="Tenorite"/>
          <w:b/>
          <w:bCs/>
          <w:color w:val="000000"/>
          <w:sz w:val="21"/>
          <w:szCs w:val="21"/>
        </w:rPr>
        <w:t xml:space="preserve">Eliminated revenue leakage</w:t>
      </w:r>
      <w:r>
        <w:rPr>
          <w:rFonts w:ascii="Tenorite" w:cs="Tenorite" w:eastAsia="Tenorite" w:hAnsi="Tenorite"/>
          <w:color w:val="000000"/>
          <w:sz w:val="21"/>
          <w:szCs w:val="21"/>
        </w:rPr>
        <w:t xml:space="preserve"> from currently-manual or missing automation: volumetric discount re-evaluation, plan-penalty/device-dues calculation, and postpaid-to-prepaid migration fees are all explicitly flagged as leakage risks today (REQ-021, REQ-072, REQ-078).</w:t>
      </w:r>
    </w:p>
    <w:p>
      <w:pPr>
        <w:pStyle w:val="ListParagraph"/>
        <w:numPr>
          <w:ilvl w:val="0"/>
          <w:numId w:val="1"/>
        </w:numPr>
        <w:spacing w:after="80"/>
      </w:pPr>
      <w:r>
        <w:rPr>
          <w:rFonts w:ascii="Tenorite" w:cs="Tenorite" w:eastAsia="Tenorite" w:hAnsi="Tenorite"/>
          <w:b/>
          <w:bCs/>
          <w:color w:val="000000"/>
          <w:sz w:val="21"/>
          <w:szCs w:val="21"/>
        </w:rPr>
        <w:t xml:space="preserve">Operational efficiency for agents</w:t>
      </w:r>
      <w:r>
        <w:rPr>
          <w:rFonts w:ascii="Tenorite" w:cs="Tenorite" w:eastAsia="Tenorite" w:hAnsi="Tenorite"/>
          <w:color w:val="000000"/>
          <w:sz w:val="21"/>
          <w:szCs w:val="21"/>
        </w:rPr>
        <w:t xml:space="preserve"> via a single guided platform replacing today's 69.7%-unguided, manual-navigation Siebel experience, and via reusable "capability" building blocks exposed through the DXP layer instead of monolithic journeys (REQ-119, REQ-110).</w:t>
      </w:r>
    </w:p>
    <w:p>
      <w:pPr>
        <w:pStyle w:val="ListParagraph"/>
        <w:numPr>
          <w:ilvl w:val="0"/>
          <w:numId w:val="1"/>
        </w:numPr>
        <w:spacing w:after="80"/>
      </w:pPr>
      <w:r>
        <w:rPr>
          <w:rFonts w:ascii="Tenorite" w:cs="Tenorite" w:eastAsia="Tenorite" w:hAnsi="Tenorite"/>
          <w:b/>
          <w:bCs/>
          <w:color w:val="000000"/>
          <w:sz w:val="21"/>
          <w:szCs w:val="21"/>
        </w:rPr>
        <w:t xml:space="preserve">Reduced manual/offline work</w:t>
      </w:r>
      <w:r>
        <w:rPr>
          <w:rFonts w:ascii="Tenorite" w:cs="Tenorite" w:eastAsia="Tenorite" w:hAnsi="Tenorite"/>
          <w:color w:val="000000"/>
          <w:sz w:val="21"/>
          <w:szCs w:val="21"/>
        </w:rPr>
        <w:t xml:space="preserve"> — business rules like fibre-over-5G precedence and lead/approval/validation steps that are currently handled via offline email get brought into the system, removing the "first system entry only at fulfilment" bottleneck (BR-028).</w:t>
      </w:r>
    </w:p>
    <w:p>
      <w:pPr>
        <w:pStyle w:val="ListParagraph"/>
        <w:numPr>
          <w:ilvl w:val="0"/>
          <w:numId w:val="1"/>
        </w:numPr>
        <w:spacing w:after="80"/>
      </w:pPr>
      <w:r>
        <w:rPr>
          <w:rFonts w:ascii="Tenorite" w:cs="Tenorite" w:eastAsia="Tenorite" w:hAnsi="Tenorite"/>
          <w:b/>
          <w:bCs/>
          <w:color w:val="000000"/>
          <w:sz w:val="21"/>
          <w:szCs w:val="21"/>
        </w:rPr>
        <w:t xml:space="preserve">Better performance and scale</w:t>
      </w:r>
      <w:r>
        <w:rPr>
          <w:rFonts w:ascii="Tenorite" w:cs="Tenorite" w:eastAsia="Tenorite" w:hAnsi="Tenorite"/>
          <w:color w:val="000000"/>
          <w:sz w:val="21"/>
          <w:szCs w:val="21"/>
        </w:rPr>
        <w:t xml:space="preserve">, particularly for enterprise accounts where core screens currently hang (REQ-034) and Excel-based bulk operations hit hard technical ceilings (BR-032).</w:t>
      </w:r>
    </w:p>
    <w:p>
      <w:pPr>
        <w:pStyle w:val="ListParagraph"/>
        <w:numPr>
          <w:ilvl w:val="0"/>
          <w:numId w:val="1"/>
        </w:numPr>
        <w:spacing w:after="80"/>
      </w:pPr>
      <w:r>
        <w:rPr>
          <w:rFonts w:ascii="Tenorite" w:cs="Tenorite" w:eastAsia="Tenorite" w:hAnsi="Tenorite"/>
          <w:b/>
          <w:bCs/>
          <w:color w:val="000000"/>
          <w:sz w:val="21"/>
          <w:szCs w:val="21"/>
        </w:rPr>
        <w:t xml:space="preserve">Reduced compliance and fraud exposure</w:t>
      </w:r>
      <w:r>
        <w:rPr>
          <w:rFonts w:ascii="Tenorite" w:cs="Tenorite" w:eastAsia="Tenorite" w:hAnsi="Tenorite"/>
          <w:color w:val="000000"/>
          <w:sz w:val="21"/>
          <w:szCs w:val="21"/>
        </w:rPr>
        <w:t xml:space="preserve"> through audit trails, regulator-mandated CNAP support, and TON fraud controls (BR-016, REQ-019, BR-062).</w:t>
      </w:r>
    </w:p>
    <w:p>
      <w:pPr>
        <w:pStyle w:val="ListParagraph"/>
        <w:numPr>
          <w:ilvl w:val="0"/>
          <w:numId w:val="1"/>
        </w:numPr>
        <w:spacing w:after="80"/>
      </w:pPr>
      <w:r>
        <w:rPr>
          <w:rFonts w:ascii="Tenorite" w:cs="Tenorite" w:eastAsia="Tenorite" w:hAnsi="Tenorite"/>
          <w:b/>
          <w:bCs/>
          <w:color w:val="000000"/>
          <w:sz w:val="21"/>
          <w:szCs w:val="21"/>
        </w:rPr>
        <w:t xml:space="preserve">A single, consolidated agent platform across channels and business lines</w:t>
      </w:r>
      <w:r>
        <w:rPr>
          <w:rFonts w:ascii="Tenorite" w:cs="Tenorite" w:eastAsia="Tenorite" w:hAnsi="Tenorite"/>
          <w:color w:val="000000"/>
          <w:sz w:val="21"/>
          <w:szCs w:val="21"/>
        </w:rPr>
        <w:t xml:space="preserve"> (consumer and enterprise, mobile and fixed, retail and contact center) replacing today's fragmented Siebel/ECR/VSA/Open UI stack — the core premise of the modernization itself (REQ-245).</w:t>
      </w:r>
    </w:p>
    <w:p>
      <w:pPr>
        <w:pStyle w:val="Heading2"/>
        <w:spacing w:after="120" w:before="260"/>
      </w:pPr>
      <w:r>
        <w:t xml:space="preserve">7. Success Metrics</w:t>
      </w:r>
    </w:p>
    <w:p>
      <w:pPr>
        <w:spacing w:after="160" w:line="300"/>
      </w:pPr>
      <w:r>
        <w:rPr>
          <w:rFonts w:ascii="Tenorite" w:cs="Tenorite" w:eastAsia="Tenorite" w:hAnsi="Tenorite"/>
          <w:b/>
          <w:bCs/>
          <w:color w:val="000000"/>
          <w:sz w:val="21"/>
          <w:szCs w:val="21"/>
        </w:rPr>
        <w:t xml:space="preserve">No explicit, quantified success metrics, KPIs, or target percentages are defined anywhere in either source file.</w:t>
      </w:r>
      <w:r>
        <w:rPr>
          <w:rFonts w:ascii="Tenorite" w:cs="Tenorite" w:eastAsia="Tenorite" w:hAnsi="Tenorite"/>
          <w:color w:val="000000"/>
          <w:sz w:val="21"/>
          <w:szCs w:val="21"/>
        </w:rPr>
        <w:t xml:space="preserve"> A targeted search for "success metric," "KPI," "target %," and "ROI" as stated figures returned no matches beyond incidental, unrelated uses of similar words. The only quantified figures in the corpus are operational/scope numbers, not success targets — for example, the 1,991-screen delivery estimate (REQ-118) and the 10.3%/69.7%/21.2% guided-journey/vanilla/view-only split (REQ-119). These describe current state and delivery scope, not target outcomes. This absence is consistent with the corpus being a discovery/requirements-gathering artifact rather than a program-management or business-case document, and should be treated as a genuine gap rather than filled in — a formal success-metrics/KPI framework will need to be defined separately before or alongside program execution.</w:t>
      </w:r>
    </w:p>
    <w:p>
      <w:r>
        <w:br w:type="page"/>
      </w:r>
    </w:p>
    <w:p>
      <w:pPr>
        <w:pStyle w:val="Heading1"/>
        <w:spacing w:after="160" w:before="320"/>
      </w:pPr>
      <w:r>
        <w:t xml:space="preserve">Functional Requirements</w:t>
      </w:r>
    </w:p>
    <w:p>
      <w:pPr>
        <w:spacing w:after="160" w:line="300"/>
      </w:pPr>
      <w:r>
        <w:rPr>
          <w:rFonts w:ascii="Tenorite" w:cs="Tenorite" w:eastAsia="Tenorite" w:hAnsi="Tenorite"/>
          <w:i/>
          <w:iCs/>
          <w:color w:val="000000"/>
          <w:sz w:val="21"/>
          <w:szCs w:val="21"/>
        </w:rPr>
        <w:t xml:space="preserve">Synthesized from ten blueprint catalogues covering 970 fields, 418 validation rules, 945 workflow steps, 39 SMS templates, 79 in-app error messages, and 41 entity state machines. Every claim below cites its source file and item ID; where evidence is thin, that is stated rather than filled in.</w:t>
      </w:r>
    </w:p>
    <w:p>
      <w:pPr>
        <w:pStyle w:val="Heading2"/>
        <w:spacing w:after="120" w:before="260"/>
      </w:pPr>
      <w:r>
        <w:t xml:space="preserve">1. System Behaviours</w:t>
      </w:r>
    </w:p>
    <w:p>
      <w:pPr>
        <w:spacing w:after="160" w:line="300"/>
      </w:pPr>
      <w:r>
        <w:rPr>
          <w:rFonts w:ascii="Tenorite" w:cs="Tenorite" w:eastAsia="Tenorite" w:hAnsi="Tenorite"/>
          <w:color w:val="000000"/>
          <w:sz w:val="21"/>
          <w:szCs w:val="21"/>
        </w:rPr>
        <w:t xml:space="preserve">The blueprint distinguishes two kinds of "state": genuinely evidenced </w:t>
      </w:r>
      <w:r>
        <w:rPr>
          <w:rFonts w:ascii="Tenorite" w:cs="Tenorite" w:eastAsia="Tenorite" w:hAnsi="Tenorite"/>
          <w:b/>
          <w:bCs/>
          <w:color w:val="000000"/>
          <w:sz w:val="21"/>
          <w:szCs w:val="21"/>
        </w:rPr>
        <w:t xml:space="preserve">entity lifecycles</w:t>
      </w:r>
      <w:r>
        <w:rPr>
          <w:rFonts w:ascii="Tenorite" w:cs="Tenorite" w:eastAsia="Tenorite" w:hAnsi="Tenorite"/>
          <w:color w:val="000000"/>
          <w:sz w:val="21"/>
          <w:szCs w:val="21"/>
        </w:rPr>
        <w:t xml:space="preserve"> and a generalized, </w:t>
      </w:r>
      <w:r>
        <w:rPr>
          <w:rFonts w:ascii="Tenorite" w:cs="Tenorite" w:eastAsia="Tenorite" w:hAnsi="Tenorite"/>
          <w:b/>
          <w:bCs/>
          <w:color w:val="000000"/>
          <w:sz w:val="21"/>
          <w:szCs w:val="21"/>
        </w:rPr>
        <w:t xml:space="preserve">assumed</w:t>
      </w:r>
      <w:r>
        <w:rPr>
          <w:rFonts w:ascii="Tenorite" w:cs="Tenorite" w:eastAsia="Tenorite" w:hAnsi="Tenorite"/>
          <w:color w:val="000000"/>
          <w:sz w:val="21"/>
          <w:szCs w:val="21"/>
        </w:rPr>
        <w:t xml:space="preserve"> screen-UI state model.</w:t>
      </w:r>
    </w:p>
    <w:p>
      <w:pPr>
        <w:spacing w:after="160" w:line="300"/>
      </w:pPr>
      <w:r>
        <w:rPr>
          <w:rFonts w:ascii="Tenorite" w:cs="Tenorite" w:eastAsia="Tenorite" w:hAnsi="Tenorite"/>
          <w:b/>
          <w:bCs/>
          <w:color w:val="000000"/>
          <w:sz w:val="21"/>
          <w:szCs w:val="21"/>
        </w:rPr>
        <w:t xml:space="preserve">Entity lifecycles (Explicit):</w:t>
      </w:r>
      <w:r>
        <w:rPr>
          <w:rFonts w:ascii="Tenorite" w:cs="Tenorite" w:eastAsia="Tenorite" w:hAnsi="Tenorite"/>
          <w:color w:val="000000"/>
          <w:sz w:val="21"/>
          <w:szCs w:val="21"/>
        </w:rPr>
        <w:t xml:space="preserve"> 41 of 83 catalogued entities have an evidenced state machine (screen-state-model.md §1). The core order/approval chain is: </w:t>
      </w:r>
      <w:r>
        <w:rPr>
          <w:rFonts w:ascii="Tenorite" w:cs="Tenorite" w:eastAsia="Tenorite" w:hAnsi="Tenorite"/>
          <w:b/>
          <w:bCs/>
          <w:color w:val="000000"/>
          <w:sz w:val="21"/>
          <w:szCs w:val="21"/>
        </w:rPr>
        <w:t xml:space="preserve">Order</w:t>
      </w:r>
      <w:r>
        <w:rPr>
          <w:rFonts w:ascii="Tenorite" w:cs="Tenorite" w:eastAsia="Tenorite" w:hAnsi="Tenorite"/>
          <w:color w:val="000000"/>
          <w:sz w:val="21"/>
          <w:szCs w:val="21"/>
        </w:rPr>
        <w:t xml:space="preserve"> (ENT-006) moves open/pending/transient → created → submitted → PM-confirmed complete/Approved/Complete → auto-purged (~12 months), with Abandoned/Cancelled/Rejected branches that resubmit. </w:t>
      </w:r>
      <w:r>
        <w:rPr>
          <w:rFonts w:ascii="Tenorite" w:cs="Tenorite" w:eastAsia="Tenorite" w:hAnsi="Tenorite"/>
          <w:b/>
          <w:bCs/>
          <w:color w:val="000000"/>
          <w:sz w:val="21"/>
          <w:szCs w:val="21"/>
        </w:rPr>
        <w:t xml:space="preserve">MSISDN/Number</w:t>
      </w:r>
      <w:r>
        <w:rPr>
          <w:rFonts w:ascii="Tenorite" w:cs="Tenorite" w:eastAsia="Tenorite" w:hAnsi="Tenorite"/>
          <w:color w:val="000000"/>
          <w:sz w:val="21"/>
          <w:szCs w:val="21"/>
        </w:rPr>
        <w:t xml:space="preserve"> (ENT-015) moves reserved → activated → (post-port) barred outgoing (day 31) → barred incoming (day 45) → disconnected → 30-day quarantine. </w:t>
      </w:r>
      <w:r>
        <w:rPr>
          <w:rFonts w:ascii="Tenorite" w:cs="Tenorite" w:eastAsia="Tenorite" w:hAnsi="Tenorite"/>
          <w:b/>
          <w:bCs/>
          <w:color w:val="000000"/>
          <w:sz w:val="21"/>
          <w:szCs w:val="21"/>
        </w:rPr>
        <w:t xml:space="preserve">MNP Port-In Order</w:t>
      </w:r>
      <w:r>
        <w:rPr>
          <w:rFonts w:ascii="Tenorite" w:cs="Tenorite" w:eastAsia="Tenorite" w:hAnsi="Tenorite"/>
          <w:color w:val="000000"/>
          <w:sz w:val="21"/>
          <w:szCs w:val="21"/>
        </w:rPr>
        <w:t xml:space="preserve"> (ENT-013) moves created → consent pending → submitted to NPAS → donor accept/reject/conditional-accept → porting window → ported, where rejection restarts the entire journey. </w:t>
      </w:r>
      <w:r>
        <w:rPr>
          <w:rFonts w:ascii="Tenorite" w:cs="Tenorite" w:eastAsia="Tenorite" w:hAnsi="Tenorite"/>
          <w:b/>
          <w:bCs/>
          <w:color w:val="000000"/>
          <w:sz w:val="21"/>
          <w:szCs w:val="21"/>
        </w:rPr>
        <w:t xml:space="preserve">Trouble Ticket</w:t>
      </w:r>
      <w:r>
        <w:rPr>
          <w:rFonts w:ascii="Tenorite" w:cs="Tenorite" w:eastAsia="Tenorite" w:hAnsi="Tenorite"/>
          <w:color w:val="000000"/>
          <w:sz w:val="21"/>
          <w:szCs w:val="21"/>
        </w:rPr>
        <w:t xml:space="preserve"> (ENT-020) moves created (unsubmitted = no queue routing) → submitted/routed → assigned → a 2-hour action window (extendable to 24h) → closed, with auto-rejection possible. Other explicit lifecycles include Billing Profile (good standing/overdue/in collection/blacklisted), SIM Swap Order (Created → Pending Approval → Assigned → Approved/Completed → Rejected/Dropped), and Lead (New → In Progress → Rejected/Converted/Retired/Submitted/Assigned/Accepted).</w:t>
      </w:r>
    </w:p>
    <w:p>
      <w:pPr>
        <w:spacing w:after="160" w:line="300"/>
      </w:pPr>
      <w:r>
        <w:rPr>
          <w:rFonts w:ascii="Tenorite" w:cs="Tenorite" w:eastAsia="Tenorite" w:hAnsi="Tenorite"/>
          <w:color w:val="000000"/>
          <w:sz w:val="21"/>
          <w:szCs w:val="21"/>
        </w:rPr>
        <w:t xml:space="preserve">The remaining ~42 entities lack an evidenced lifecycle in the corpus. Separately, a generic </w:t>
      </w:r>
      <w:r>
        <w:rPr>
          <w:rFonts w:ascii="Tenorite" w:cs="Tenorite" w:eastAsia="Tenorite" w:hAnsi="Tenorite"/>
          <w:b/>
          <w:bCs/>
          <w:color w:val="000000"/>
          <w:sz w:val="21"/>
          <w:szCs w:val="21"/>
        </w:rPr>
        <w:t xml:space="preserve">screen</w:t>
      </w:r>
      <w:r>
        <w:rPr>
          <w:rFonts w:ascii="Tenorite" w:cs="Tenorite" w:eastAsia="Tenorite" w:hAnsi="Tenorite"/>
          <w:color w:val="000000"/>
          <w:sz w:val="21"/>
          <w:szCs w:val="21"/>
        </w:rPr>
        <w:t xml:space="preserve"> state model (Initial/Loading/Empty/Success/Failure/Draft/Submitted/Approved/Rejected) is explicitly flagged as an </w:t>
      </w:r>
      <w:r>
        <w:rPr>
          <w:rFonts w:ascii="Tenorite" w:cs="Tenorite" w:eastAsia="Tenorite" w:hAnsi="Tenorite"/>
          <w:b/>
          <w:bCs/>
          <w:color w:val="000000"/>
          <w:sz w:val="21"/>
          <w:szCs w:val="21"/>
        </w:rPr>
        <w:t xml:space="preserve">Assumed architectural generalization</w:t>
      </w:r>
      <w:r>
        <w:rPr>
          <w:rFonts w:ascii="Tenorite" w:cs="Tenorite" w:eastAsia="Tenorite" w:hAnsi="Tenorite"/>
          <w:color w:val="000000"/>
          <w:sz w:val="21"/>
          <w:szCs w:val="21"/>
        </w:rPr>
        <w:t xml:space="preserve"> — inferred from incidental evidence (e.g. a "Validating Order, please wait..." spinner) rather than a documented taxonomy (screen-state-model.md §2).</w:t>
      </w:r>
    </w:p>
    <w:p>
      <w:pPr>
        <w:spacing w:after="160" w:line="300"/>
      </w:pPr>
      <w:r>
        <w:rPr>
          <w:rFonts w:ascii="Tenorite" w:cs="Tenorite" w:eastAsia="Tenorite" w:hAnsi="Tenorite"/>
          <w:color w:val="000000"/>
          <w:sz w:val="21"/>
          <w:szCs w:val="21"/>
        </w:rPr>
        <w:t xml:space="preserve">Representative workflow-step examples (workflow-execution-matrix.md):</w:t>
      </w:r>
    </w:p>
    <w:p>
      <w:pPr>
        <w:pStyle w:val="ListParagraph"/>
        <w:numPr>
          <w:ilvl w:val="0"/>
          <w:numId w:val="1"/>
        </w:numPr>
        <w:spacing w:after="80"/>
      </w:pPr>
      <w:r>
        <w:rPr>
          <w:rFonts w:ascii="Tenorite" w:cs="Tenorite" w:eastAsia="Tenorite" w:hAnsi="Tenorite"/>
          <w:b/>
          <w:bCs/>
          <w:color w:val="000000"/>
          <w:sz w:val="21"/>
          <w:szCs w:val="21"/>
        </w:rPr>
        <w:t xml:space="preserve">WF-283</w:t>
      </w:r>
      <w:r>
        <w:rPr>
          <w:rFonts w:ascii="Tenorite" w:cs="Tenorite" w:eastAsia="Tenorite" w:hAnsi="Tenorite"/>
          <w:color w:val="000000"/>
          <w:sz w:val="21"/>
          <w:szCs w:val="21"/>
        </w:rPr>
        <w:t xml:space="preserve">: Agent opens Home screen, begins contact creation (UJ-057, FWA Outdoor).</w:t>
      </w:r>
    </w:p>
    <w:p>
      <w:pPr>
        <w:pStyle w:val="ListParagraph"/>
        <w:numPr>
          <w:ilvl w:val="0"/>
          <w:numId w:val="1"/>
        </w:numPr>
        <w:spacing w:after="80"/>
      </w:pPr>
      <w:r>
        <w:rPr>
          <w:rFonts w:ascii="Tenorite" w:cs="Tenorite" w:eastAsia="Tenorite" w:hAnsi="Tenorite"/>
          <w:b/>
          <w:bCs/>
          <w:color w:val="000000"/>
          <w:sz w:val="21"/>
          <w:szCs w:val="21"/>
        </w:rPr>
        <w:t xml:space="preserve">WF-285</w:t>
      </w:r>
      <w:r>
        <w:rPr>
          <w:rFonts w:ascii="Tenorite" w:cs="Tenorite" w:eastAsia="Tenorite" w:hAnsi="Tenorite"/>
          <w:color w:val="000000"/>
          <w:sz w:val="21"/>
          <w:szCs w:val="21"/>
        </w:rPr>
        <w:t xml:space="preserve">: System auto-creates Account 129722927059 and sets Area on contact save.</w:t>
      </w:r>
    </w:p>
    <w:p>
      <w:pPr>
        <w:pStyle w:val="ListParagraph"/>
        <w:numPr>
          <w:ilvl w:val="0"/>
          <w:numId w:val="1"/>
        </w:numPr>
        <w:spacing w:after="80"/>
      </w:pPr>
      <w:r>
        <w:rPr>
          <w:rFonts w:ascii="Tenorite" w:cs="Tenorite" w:eastAsia="Tenorite" w:hAnsi="Tenorite"/>
          <w:b/>
          <w:bCs/>
          <w:color w:val="000000"/>
          <w:sz w:val="21"/>
          <w:szCs w:val="21"/>
        </w:rPr>
        <w:t xml:space="preserve">WF-286</w:t>
      </w:r>
      <w:r>
        <w:rPr>
          <w:rFonts w:ascii="Tenorite" w:cs="Tenorite" w:eastAsia="Tenorite" w:hAnsi="Tenorite"/>
          <w:color w:val="000000"/>
          <w:sz w:val="21"/>
          <w:szCs w:val="21"/>
        </w:rPr>
        <w:t xml:space="preserve">: System auto-creates Order 1-29722927101 in "Pending" status once an account exists.</w:t>
      </w:r>
    </w:p>
    <w:p>
      <w:pPr>
        <w:pStyle w:val="ListParagraph"/>
        <w:numPr>
          <w:ilvl w:val="0"/>
          <w:numId w:val="1"/>
        </w:numPr>
        <w:spacing w:after="80"/>
      </w:pPr>
      <w:r>
        <w:rPr>
          <w:rFonts w:ascii="Tenorite" w:cs="Tenorite" w:eastAsia="Tenorite" w:hAnsi="Tenorite"/>
          <w:b/>
          <w:bCs/>
          <w:color w:val="000000"/>
          <w:sz w:val="21"/>
          <w:szCs w:val="21"/>
        </w:rPr>
        <w:t xml:space="preserve">WF-288</w:t>
      </w:r>
      <w:r>
        <w:rPr>
          <w:rFonts w:ascii="Tenorite" w:cs="Tenorite" w:eastAsia="Tenorite" w:hAnsi="Tenorite"/>
          <w:color w:val="000000"/>
          <w:sz w:val="21"/>
          <w:szCs w:val="21"/>
        </w:rPr>
        <w:t xml:space="preserve">: Agent reserves MSISDN 97441202322; system returns a raw success token "SUCCESS:Reservation Token:13832357(SBL-EXL-00151)".</w:t>
      </w:r>
    </w:p>
    <w:p>
      <w:pPr>
        <w:pStyle w:val="ListParagraph"/>
        <w:numPr>
          <w:ilvl w:val="0"/>
          <w:numId w:val="1"/>
        </w:numPr>
        <w:spacing w:after="80"/>
      </w:pPr>
      <w:r>
        <w:rPr>
          <w:rFonts w:ascii="Tenorite" w:cs="Tenorite" w:eastAsia="Tenorite" w:hAnsi="Tenorite"/>
          <w:b/>
          <w:bCs/>
          <w:color w:val="000000"/>
          <w:sz w:val="21"/>
          <w:szCs w:val="21"/>
        </w:rPr>
        <w:t xml:space="preserve">WF-291</w:t>
      </w:r>
      <w:r>
        <w:rPr>
          <w:rFonts w:ascii="Tenorite" w:cs="Tenorite" w:eastAsia="Tenorite" w:hAnsi="Tenorite"/>
          <w:color w:val="000000"/>
          <w:sz w:val="21"/>
          <w:szCs w:val="21"/>
        </w:rPr>
        <w:t xml:space="preserve">: Agent selects an installation slot from a capacity-checked calendar; full slots show "Full" and are unselectable.</w:t>
      </w:r>
    </w:p>
    <w:p>
      <w:pPr>
        <w:pStyle w:val="ListParagraph"/>
        <w:numPr>
          <w:ilvl w:val="0"/>
          <w:numId w:val="1"/>
        </w:numPr>
        <w:spacing w:after="80"/>
      </w:pPr>
      <w:r>
        <w:rPr>
          <w:rFonts w:ascii="Tenorite" w:cs="Tenorite" w:eastAsia="Tenorite" w:hAnsi="Tenorite"/>
          <w:b/>
          <w:bCs/>
          <w:color w:val="000000"/>
          <w:sz w:val="21"/>
          <w:szCs w:val="21"/>
        </w:rPr>
        <w:t xml:space="preserve">WF-469</w:t>
      </w:r>
      <w:r>
        <w:rPr>
          <w:rFonts w:ascii="Tenorite" w:cs="Tenorite" w:eastAsia="Tenorite" w:hAnsi="Tenorite"/>
          <w:color w:val="000000"/>
          <w:sz w:val="21"/>
          <w:szCs w:val="21"/>
        </w:rPr>
        <w:t xml:space="preserve">: Empty-field submission on the Address step blocks progression with a modal listing missing fields.</w:t>
      </w:r>
    </w:p>
    <w:p>
      <w:pPr>
        <w:pStyle w:val="ListParagraph"/>
        <w:numPr>
          <w:ilvl w:val="0"/>
          <w:numId w:val="1"/>
        </w:numPr>
        <w:spacing w:after="80"/>
      </w:pPr>
      <w:r>
        <w:rPr>
          <w:rFonts w:ascii="Tenorite" w:cs="Tenorite" w:eastAsia="Tenorite" w:hAnsi="Tenorite"/>
          <w:b/>
          <w:bCs/>
          <w:color w:val="000000"/>
          <w:sz w:val="21"/>
          <w:szCs w:val="21"/>
        </w:rPr>
        <w:t xml:space="preserve">WF-718 / WF-719</w:t>
      </w:r>
      <w:r>
        <w:rPr>
          <w:rFonts w:ascii="Tenorite" w:cs="Tenorite" w:eastAsia="Tenorite" w:hAnsi="Tenorite"/>
          <w:color w:val="000000"/>
          <w:sz w:val="21"/>
          <w:szCs w:val="21"/>
        </w:rPr>
        <w:t xml:space="preserve">: HRN customer + credit-limit variant explicitly routes to a manager-approval queue step.</w:t>
      </w:r>
    </w:p>
    <w:p>
      <w:pPr>
        <w:pStyle w:val="Heading2"/>
        <w:spacing w:after="120" w:before="260"/>
      </w:pPr>
      <w:r>
        <w:t xml:space="preserve">2. User Interactions &amp; Workflows</w:t>
      </w:r>
    </w:p>
    <w:p>
      <w:pPr>
        <w:spacing w:after="160" w:line="300"/>
      </w:pPr>
      <w:r>
        <w:rPr>
          <w:rFonts w:ascii="Tenorite" w:cs="Tenorite" w:eastAsia="Tenorite" w:hAnsi="Tenorite"/>
          <w:color w:val="000000"/>
          <w:sz w:val="21"/>
          <w:szCs w:val="21"/>
        </w:rPr>
        <w:t xml:space="preserve">workflow-execution-matrix.md catalogues 945 raw step mentions (960 canonical items, high confidence 880/960) across </w:t>
      </w:r>
      <w:r>
        <w:rPr>
          <w:rFonts w:ascii="Tenorite" w:cs="Tenorite" w:eastAsia="Tenorite" w:hAnsi="Tenorite"/>
          <w:b/>
          <w:bCs/>
          <w:color w:val="000000"/>
          <w:sz w:val="21"/>
          <w:szCs w:val="21"/>
        </w:rPr>
        <w:t xml:space="preserve">164 distinct journey scenarios</w:t>
      </w:r>
      <w:r>
        <w:rPr>
          <w:rFonts w:ascii="Tenorite" w:cs="Tenorite" w:eastAsia="Tenorite" w:hAnsi="Tenorite"/>
          <w:color w:val="000000"/>
          <w:sz w:val="21"/>
          <w:szCs w:val="21"/>
        </w:rPr>
        <w:t xml:space="preserve">, ranging from 3-step flows (e.g. UJ-026 MNP Port-Out Ticket, NPAS-auto-created) to 21-step end-to-end flows (UJ-057 FWA Outdoor + WFM Installation; UJ-077 Cross-Sell to New Postpaid). Each step is recorded with Actor / Input / Output / Validation / Business Rule / Next Step / Exception Flow. Distinct channel/approval variants of a similar journey (e.g. "Tablet B2B2C With Approval" vs. "Desktop Vanilla") are deliberately </w:t>
      </w:r>
      <w:r>
        <w:rPr>
          <w:rFonts w:ascii="Tenorite" w:cs="Tenorite" w:eastAsia="Tenorite" w:hAnsi="Tenorite"/>
          <w:b/>
          <w:bCs/>
          <w:color w:val="000000"/>
          <w:sz w:val="21"/>
          <w:szCs w:val="21"/>
        </w:rPr>
        <w:t xml:space="preserve">kept as separate scenario walkthroughs</w:t>
      </w:r>
      <w:r>
        <w:rPr>
          <w:rFonts w:ascii="Tenorite" w:cs="Tenorite" w:eastAsia="Tenorite" w:hAnsi="Tenorite"/>
          <w:color w:val="000000"/>
          <w:sz w:val="21"/>
          <w:szCs w:val="21"/>
        </w:rPr>
        <w:t xml:space="preserve"> rather than merged, since they diverge step-by-step. The dominant actor is "Agent" (293 step-mentions), followed by "System" (141) — reflecting that this is an agent-assisted CRM, not a self-service portal.</w:t>
      </w:r>
    </w:p>
    <w:p>
      <w:pPr>
        <w:spacing w:after="160" w:line="300"/>
      </w:pPr>
      <w:r>
        <w:rPr>
          <w:rFonts w:ascii="Tenorite" w:cs="Tenorite" w:eastAsia="Tenorite" w:hAnsi="Tenorite"/>
          <w:color w:val="000000"/>
          <w:sz w:val="21"/>
          <w:szCs w:val="21"/>
        </w:rPr>
        <w:t xml:space="preserve">Concrete example: in UJ-057 (FWA Outdoor, Dual Play), the CRM agent creates a contact (WF-283/284) → system auto-creates account and order (WF-285/286) → agent adds three line items → agent reserves a number → agent confirms a CPE ship-to address → agent books an installation appointment against a live-capacity calendar → system confirms with an Appointment ID. A second pattern seen repeatedly is the </w:t>
      </w:r>
      <w:r>
        <w:rPr>
          <w:rFonts w:ascii="Tenorite" w:cs="Tenorite" w:eastAsia="Tenorite" w:hAnsi="Tenorite"/>
          <w:b/>
          <w:bCs/>
          <w:color w:val="000000"/>
          <w:sz w:val="21"/>
          <w:szCs w:val="21"/>
        </w:rPr>
        <w:t xml:space="preserve">approval hand-off</w:t>
      </w:r>
      <w:r>
        <w:rPr>
          <w:rFonts w:ascii="Tenorite" w:cs="Tenorite" w:eastAsia="Tenorite" w:hAnsi="Tenorite"/>
          <w:color w:val="000000"/>
          <w:sz w:val="21"/>
          <w:szCs w:val="21"/>
        </w:rPr>
        <w:t xml:space="preserve">: an order created by a Retail/Sales agent for an HRN (high-risk-nationality) customer or one exceeding standard credit limits is explicitly routed into a Manager's "Order Approval queue" (workflow-execution-matrix.md, WF-495 area, UJ-083), where a manager uses "Assign to Me" before approving/rejecting.</w:t>
      </w:r>
    </w:p>
    <w:p>
      <w:pPr>
        <w:pStyle w:val="Heading2"/>
        <w:spacing w:after="120" w:before="260"/>
      </w:pPr>
      <w:r>
        <w:t xml:space="preserve">3. Data Requirements</w:t>
      </w:r>
    </w:p>
    <w:p>
      <w:pPr>
        <w:spacing w:after="160" w:line="300"/>
      </w:pPr>
      <w:r>
        <w:rPr>
          <w:rFonts w:ascii="Tenorite" w:cs="Tenorite" w:eastAsia="Tenorite" w:hAnsi="Tenorite"/>
          <w:color w:val="000000"/>
          <w:sz w:val="21"/>
          <w:szCs w:val="21"/>
        </w:rPr>
        <w:t xml:space="preserve">field-inventory.md catalogues </w:t>
      </w:r>
      <w:r>
        <w:rPr>
          <w:rFonts w:ascii="Tenorite" w:cs="Tenorite" w:eastAsia="Tenorite" w:hAnsi="Tenorite"/>
          <w:b/>
          <w:bCs/>
          <w:color w:val="000000"/>
          <w:sz w:val="21"/>
          <w:szCs w:val="21"/>
        </w:rPr>
        <w:t xml:space="preserve">1,043 canonical fields</w:t>
      </w:r>
      <w:r>
        <w:rPr>
          <w:rFonts w:ascii="Tenorite" w:cs="Tenorite" w:eastAsia="Tenorite" w:hAnsi="Tenorite"/>
          <w:color w:val="000000"/>
          <w:sz w:val="21"/>
          <w:szCs w:val="21"/>
        </w:rPr>
        <w:t xml:space="preserve"> (904 high confidence, 138 medium, 1 low; 1,028 Explicit / 14 Inferred / 1 Assumed), grouped under 543 free-text screen/form headings rather than forced onto the SCR-xxx screen catalogue (to avoid mis-linking similarly-named but distinct screens). The largest groupings are form-heavy: "Postpaid CAF – Section 1 Applicant Details" (19 fields), "Order Validation Business Rules" (15), "Contact record (create/update) – CRM" (14), "New Fixed Line Tablet – Step 1 Contact profile" (13), "FWA Contact (Step 1)" (13). By data type, free text dominates (214+ plain text fields, another 50 near-duplicates), followed by dropdown/enum (93), number (58), file upload (45), date (32), checkbox (22), and dedicated types for signature capture (16) and email (13) — reflecting a forms-and-document-heavy domain (CAFs, ID scans, e-signatures, photo evidence).</w:t>
      </w:r>
    </w:p>
    <w:p>
      <w:pPr>
        <w:spacing w:after="160" w:line="300"/>
      </w:pPr>
      <w:r>
        <w:rPr>
          <w:rFonts w:ascii="Tenorite" w:cs="Tenorite" w:eastAsia="Tenorite" w:hAnsi="Tenorite"/>
          <w:color w:val="000000"/>
          <w:sz w:val="21"/>
          <w:szCs w:val="21"/>
        </w:rPr>
        <w:t xml:space="preserve">Representative fields:</w:t>
      </w:r>
    </w:p>
    <w:p>
      <w:pPr>
        <w:pStyle w:val="ListParagraph"/>
        <w:numPr>
          <w:ilvl w:val="0"/>
          <w:numId w:val="1"/>
        </w:numPr>
        <w:spacing w:after="80"/>
      </w:pPr>
      <w:r>
        <w:rPr>
          <w:rFonts w:ascii="Tenorite" w:cs="Tenorite" w:eastAsia="Tenorite" w:hAnsi="Tenorite"/>
          <w:b/>
          <w:bCs/>
          <w:color w:val="000000"/>
          <w:sz w:val="21"/>
          <w:szCs w:val="21"/>
        </w:rPr>
        <w:t xml:space="preserve">FLD-162</w:t>
      </w:r>
      <w:r>
        <w:rPr>
          <w:rFonts w:ascii="Tenorite" w:cs="Tenorite" w:eastAsia="Tenorite" w:hAnsi="Tenorite"/>
          <w:color w:val="000000"/>
          <w:sz w:val="21"/>
          <w:szCs w:val="21"/>
        </w:rPr>
        <w:t xml:space="preserve"> Qatar ID number (QID) — text, mandatory, on the Postpaid CAF.</w:t>
      </w:r>
    </w:p>
    <w:p>
      <w:pPr>
        <w:pStyle w:val="ListParagraph"/>
        <w:numPr>
          <w:ilvl w:val="0"/>
          <w:numId w:val="1"/>
        </w:numPr>
        <w:spacing w:after="80"/>
      </w:pPr>
      <w:r>
        <w:rPr>
          <w:rFonts w:ascii="Tenorite" w:cs="Tenorite" w:eastAsia="Tenorite" w:hAnsi="Tenorite"/>
          <w:b/>
          <w:bCs/>
          <w:color w:val="000000"/>
          <w:sz w:val="21"/>
          <w:szCs w:val="21"/>
        </w:rPr>
        <w:t xml:space="preserve">FLD-164</w:t>
      </w:r>
      <w:r>
        <w:rPr>
          <w:rFonts w:ascii="Tenorite" w:cs="Tenorite" w:eastAsia="Tenorite" w:hAnsi="Tenorite"/>
          <w:color w:val="000000"/>
          <w:sz w:val="21"/>
          <w:szCs w:val="21"/>
        </w:rPr>
        <w:t xml:space="preserve"> Expiry date — date, mandatory, tied to the QID/passport.</w:t>
      </w:r>
    </w:p>
    <w:p>
      <w:pPr>
        <w:pStyle w:val="ListParagraph"/>
        <w:numPr>
          <w:ilvl w:val="0"/>
          <w:numId w:val="1"/>
        </w:numPr>
        <w:spacing w:after="80"/>
      </w:pPr>
      <w:r>
        <w:rPr>
          <w:rFonts w:ascii="Tenorite" w:cs="Tenorite" w:eastAsia="Tenorite" w:hAnsi="Tenorite"/>
          <w:b/>
          <w:bCs/>
          <w:color w:val="000000"/>
          <w:sz w:val="21"/>
          <w:szCs w:val="21"/>
        </w:rPr>
        <w:t xml:space="preserve">FLD-212</w:t>
      </w:r>
      <w:r>
        <w:rPr>
          <w:rFonts w:ascii="Tenorite" w:cs="Tenorite" w:eastAsia="Tenorite" w:hAnsi="Tenorite"/>
          <w:color w:val="000000"/>
          <w:sz w:val="21"/>
          <w:szCs w:val="21"/>
        </w:rPr>
        <w:t xml:space="preserve"> Email (Contact record) — validated format, error "Email format entered is incorrect..."</w:t>
      </w:r>
    </w:p>
    <w:p>
      <w:pPr>
        <w:pStyle w:val="ListParagraph"/>
        <w:numPr>
          <w:ilvl w:val="0"/>
          <w:numId w:val="1"/>
        </w:numPr>
        <w:spacing w:after="80"/>
      </w:pPr>
      <w:r>
        <w:rPr>
          <w:rFonts w:ascii="Tenorite" w:cs="Tenorite" w:eastAsia="Tenorite" w:hAnsi="Tenorite"/>
          <w:b/>
          <w:bCs/>
          <w:color w:val="000000"/>
          <w:sz w:val="21"/>
          <w:szCs w:val="21"/>
        </w:rPr>
        <w:t xml:space="preserve">FLD-214</w:t>
      </w:r>
      <w:r>
        <w:rPr>
          <w:rFonts w:ascii="Tenorite" w:cs="Tenorite" w:eastAsia="Tenorite" w:hAnsi="Tenorite"/>
          <w:color w:val="000000"/>
          <w:sz w:val="21"/>
          <w:szCs w:val="21"/>
        </w:rPr>
        <w:t xml:space="preserve"> ID Number (Contact record) — must be exactly 11 digits, error "Please enter a valid 11-digit ID number".</w:t>
      </w:r>
    </w:p>
    <w:p>
      <w:pPr>
        <w:pStyle w:val="ListParagraph"/>
        <w:numPr>
          <w:ilvl w:val="0"/>
          <w:numId w:val="1"/>
        </w:numPr>
        <w:spacing w:after="80"/>
      </w:pPr>
      <w:r>
        <w:rPr>
          <w:rFonts w:ascii="Tenorite" w:cs="Tenorite" w:eastAsia="Tenorite" w:hAnsi="Tenorite"/>
          <w:b/>
          <w:bCs/>
          <w:color w:val="000000"/>
          <w:sz w:val="21"/>
          <w:szCs w:val="21"/>
        </w:rPr>
        <w:t xml:space="preserve">FLD-218</w:t>
      </w:r>
      <w:r>
        <w:rPr>
          <w:rFonts w:ascii="Tenorite" w:cs="Tenorite" w:eastAsia="Tenorite" w:hAnsi="Tenorite"/>
          <w:color w:val="000000"/>
          <w:sz w:val="21"/>
          <w:szCs w:val="21"/>
        </w:rPr>
        <w:t xml:space="preserve"> Alternate/Cellular Phone # — must start with "974".</w:t>
      </w:r>
    </w:p>
    <w:p>
      <w:pPr>
        <w:pStyle w:val="ListParagraph"/>
        <w:numPr>
          <w:ilvl w:val="0"/>
          <w:numId w:val="1"/>
        </w:numPr>
        <w:spacing w:after="80"/>
      </w:pPr>
      <w:r>
        <w:rPr>
          <w:rFonts w:ascii="Tenorite" w:cs="Tenorite" w:eastAsia="Tenorite" w:hAnsi="Tenorite"/>
          <w:b/>
          <w:bCs/>
          <w:color w:val="000000"/>
          <w:sz w:val="21"/>
          <w:szCs w:val="21"/>
        </w:rPr>
        <w:t xml:space="preserve">FLD-146</w:t>
      </w:r>
      <w:r>
        <w:rPr>
          <w:rFonts w:ascii="Tenorite" w:cs="Tenorite" w:eastAsia="Tenorite" w:hAnsi="Tenorite"/>
          <w:color w:val="000000"/>
          <w:sz w:val="21"/>
          <w:szCs w:val="21"/>
        </w:rPr>
        <w:t xml:space="preserve"> Credit Limit (default) — number/currency; defaults to 1,000 QAR for expats, 50 for HRN customers, but flagged as having </w:t>
      </w:r>
      <w:r>
        <w:rPr>
          <w:rFonts w:ascii="Tenorite" w:cs="Tenorite" w:eastAsia="Tenorite" w:hAnsi="Tenorite"/>
          <w:b/>
          <w:bCs/>
          <w:color w:val="000000"/>
          <w:sz w:val="21"/>
          <w:szCs w:val="21"/>
        </w:rPr>
        <w:t xml:space="preserve">no system-enforced ceiling today</w:t>
      </w:r>
      <w:r>
        <w:rPr>
          <w:rFonts w:ascii="Tenorite" w:cs="Tenorite" w:eastAsia="Tenorite" w:hAnsi="Tenorite"/>
          <w:color w:val="000000"/>
          <w:sz w:val="21"/>
          <w:szCs w:val="21"/>
        </w:rPr>
        <w:t xml:space="preserve"> — an uncontrolled credit-exposure risk (validation-catalogue.md VAL-216).</w:t>
      </w:r>
    </w:p>
    <w:p>
      <w:pPr>
        <w:pStyle w:val="ListParagraph"/>
        <w:numPr>
          <w:ilvl w:val="0"/>
          <w:numId w:val="1"/>
        </w:numPr>
        <w:spacing w:after="80"/>
      </w:pPr>
      <w:r>
        <w:rPr>
          <w:rFonts w:ascii="Tenorite" w:cs="Tenorite" w:eastAsia="Tenorite" w:hAnsi="Tenorite"/>
          <w:b/>
          <w:bCs/>
          <w:color w:val="000000"/>
          <w:sz w:val="21"/>
          <w:szCs w:val="21"/>
        </w:rPr>
        <w:t xml:space="preserve">FLD-529</w:t>
      </w:r>
      <w:r>
        <w:rPr>
          <w:rFonts w:ascii="Tenorite" w:cs="Tenorite" w:eastAsia="Tenorite" w:hAnsi="Tenorite"/>
          <w:color w:val="000000"/>
          <w:sz w:val="21"/>
          <w:szCs w:val="21"/>
        </w:rPr>
        <w:t xml:space="preserve"> Smart/Bill Limit — number; floor-validated against an "Agent Minimum" value.</w:t>
      </w:r>
    </w:p>
    <w:p>
      <w:pPr>
        <w:pStyle w:val="ListParagraph"/>
        <w:numPr>
          <w:ilvl w:val="0"/>
          <w:numId w:val="1"/>
        </w:numPr>
        <w:spacing w:after="80"/>
      </w:pPr>
      <w:r>
        <w:rPr>
          <w:rFonts w:ascii="Tenorite" w:cs="Tenorite" w:eastAsia="Tenorite" w:hAnsi="Tenorite"/>
          <w:b/>
          <w:bCs/>
          <w:color w:val="000000"/>
          <w:sz w:val="21"/>
          <w:szCs w:val="21"/>
        </w:rPr>
        <w:t xml:space="preserve">FLD-567</w:t>
      </w:r>
      <w:r>
        <w:rPr>
          <w:rFonts w:ascii="Tenorite" w:cs="Tenorite" w:eastAsia="Tenorite" w:hAnsi="Tenorite"/>
          <w:color w:val="000000"/>
          <w:sz w:val="21"/>
          <w:szCs w:val="21"/>
        </w:rPr>
        <w:t xml:space="preserve"> MOI Validation status — system-set, drives a blue "MOI Validation completed" banner before contact confirmation.</w:t>
      </w:r>
    </w:p>
    <w:p>
      <w:pPr>
        <w:pStyle w:val="ListParagraph"/>
        <w:numPr>
          <w:ilvl w:val="0"/>
          <w:numId w:val="1"/>
        </w:numPr>
        <w:spacing w:after="80"/>
      </w:pPr>
      <w:r>
        <w:rPr>
          <w:rFonts w:ascii="Tenorite" w:cs="Tenorite" w:eastAsia="Tenorite" w:hAnsi="Tenorite"/>
          <w:b/>
          <w:bCs/>
          <w:color w:val="000000"/>
          <w:sz w:val="21"/>
          <w:szCs w:val="21"/>
        </w:rPr>
        <w:t xml:space="preserve">FLD-652</w:t>
      </w:r>
      <w:r>
        <w:rPr>
          <w:rFonts w:ascii="Tenorite" w:cs="Tenorite" w:eastAsia="Tenorite" w:hAnsi="Tenorite"/>
          <w:color w:val="000000"/>
          <w:sz w:val="21"/>
          <w:szCs w:val="21"/>
        </w:rPr>
        <w:t xml:space="preserve"> Agent Min Value (Bill/Spend Limit Mapping, Product Admin) — the configured floor referenced by FLD-529/666's validation.</w:t>
      </w:r>
    </w:p>
    <w:p>
      <w:pPr>
        <w:pStyle w:val="ListParagraph"/>
        <w:numPr>
          <w:ilvl w:val="0"/>
          <w:numId w:val="1"/>
        </w:numPr>
        <w:spacing w:after="80"/>
      </w:pPr>
      <w:r>
        <w:rPr>
          <w:rFonts w:ascii="Tenorite" w:cs="Tenorite" w:eastAsia="Tenorite" w:hAnsi="Tenorite"/>
          <w:b/>
          <w:bCs/>
          <w:color w:val="000000"/>
          <w:sz w:val="21"/>
          <w:szCs w:val="21"/>
        </w:rPr>
        <w:t xml:space="preserve">FLD-666</w:t>
      </w:r>
      <w:r>
        <w:rPr>
          <w:rFonts w:ascii="Tenorite" w:cs="Tenorite" w:eastAsia="Tenorite" w:hAnsi="Tenorite"/>
          <w:color w:val="000000"/>
          <w:sz w:val="21"/>
          <w:szCs w:val="21"/>
        </w:rPr>
        <w:t xml:space="preserve"> SL Limit Amount — must not fall below the product's Agent Min Value or a backend order-validation error (SBL-EXL-00151) is raised.</w:t>
      </w:r>
    </w:p>
    <w:p>
      <w:pPr>
        <w:pStyle w:val="Heading2"/>
        <w:spacing w:after="120" w:before="260"/>
      </w:pPr>
      <w:r>
        <w:t xml:space="preserve">4. Validation Rules</w:t>
      </w:r>
    </w:p>
    <w:p>
      <w:pPr>
        <w:spacing w:after="160" w:line="300"/>
      </w:pPr>
      <w:r>
        <w:rPr>
          <w:rFonts w:ascii="Tenorite" w:cs="Tenorite" w:eastAsia="Tenorite" w:hAnsi="Tenorite"/>
          <w:color w:val="000000"/>
          <w:sz w:val="21"/>
          <w:szCs w:val="21"/>
        </w:rPr>
        <w:t xml:space="preserve">validation-catalogue.md catalogues </w:t>
      </w:r>
      <w:r>
        <w:rPr>
          <w:rFonts w:ascii="Tenorite" w:cs="Tenorite" w:eastAsia="Tenorite" w:hAnsi="Tenorite"/>
          <w:b/>
          <w:bCs/>
          <w:color w:val="000000"/>
          <w:sz w:val="21"/>
          <w:szCs w:val="21"/>
        </w:rPr>
        <w:t xml:space="preserve">418 canonical validation rules</w:t>
      </w:r>
      <w:r>
        <w:rPr>
          <w:rFonts w:ascii="Tenorite" w:cs="Tenorite" w:eastAsia="Tenorite" w:hAnsi="Tenorite"/>
          <w:color w:val="000000"/>
          <w:sz w:val="21"/>
          <w:szCs w:val="21"/>
        </w:rPr>
        <w:t xml:space="preserve"> (389 high confidence; 410 Explicit), split into </w:t>
      </w:r>
      <w:r>
        <w:rPr>
          <w:rFonts w:ascii="Tenorite" w:cs="Tenorite" w:eastAsia="Tenorite" w:hAnsi="Tenorite"/>
          <w:b/>
          <w:bCs/>
          <w:color w:val="000000"/>
          <w:sz w:val="21"/>
          <w:szCs w:val="21"/>
        </w:rPr>
        <w:t xml:space="preserve">281 Field-Level</w:t>
      </w:r>
      <w:r>
        <w:rPr>
          <w:rFonts w:ascii="Tenorite" w:cs="Tenorite" w:eastAsia="Tenorite" w:hAnsi="Tenorite"/>
          <w:color w:val="000000"/>
          <w:sz w:val="21"/>
          <w:szCs w:val="21"/>
        </w:rPr>
        <w:t xml:space="preserve"> and </w:t>
      </w:r>
      <w:r>
        <w:rPr>
          <w:rFonts w:ascii="Tenorite" w:cs="Tenorite" w:eastAsia="Tenorite" w:hAnsi="Tenorite"/>
          <w:b/>
          <w:bCs/>
          <w:color w:val="000000"/>
          <w:sz w:val="21"/>
          <w:szCs w:val="21"/>
        </w:rPr>
        <w:t xml:space="preserve">137 Business Rule</w:t>
      </w:r>
      <w:r>
        <w:rPr>
          <w:rFonts w:ascii="Tenorite" w:cs="Tenorite" w:eastAsia="Tenorite" w:hAnsi="Tenorite"/>
          <w:color w:val="000000"/>
          <w:sz w:val="21"/>
          <w:szCs w:val="21"/>
        </w:rPr>
        <w:t xml:space="preserve"> entries, drawn from </w:t>
      </w:r>
      <w:r>
        <w:rPr>
          <w:rFonts w:ascii="Tenorite" w:cs="Tenorite" w:eastAsia="Tenorite" w:hAnsi="Tenorite"/>
          <w:color w:val="000000"/>
          <w:sz w:val="21"/>
          <w:szCs w:val="21"/>
        </w:rPr>
        <w:t xml:space="preserve">business-rules.md</w:t>
      </w:r>
      <w:r>
        <w:rPr>
          <w:rFonts w:ascii="Tenorite" w:cs="Tenorite" w:eastAsia="Tenorite" w:hAnsi="Tenorite"/>
          <w:color w:val="000000"/>
          <w:sz w:val="21"/>
          <w:szCs w:val="21"/>
        </w:rPr>
        <w:t xml:space="preserve"> plus newly extracted field-level checks in field-inventory.md.</w:t>
      </w:r>
    </w:p>
    <w:p>
      <w:pPr>
        <w:spacing w:after="160" w:line="300"/>
      </w:pPr>
      <w:r>
        <w:rPr>
          <w:rFonts w:ascii="Tenorite" w:cs="Tenorite" w:eastAsia="Tenorite" w:hAnsi="Tenorite"/>
          <w:color w:val="000000"/>
          <w:sz w:val="21"/>
          <w:szCs w:val="21"/>
        </w:rPr>
        <w:t xml:space="preserve">Representative rules:</w:t>
      </w:r>
    </w:p>
    <w:p>
      <w:pPr>
        <w:pStyle w:val="ListParagraph"/>
        <w:numPr>
          <w:ilvl w:val="0"/>
          <w:numId w:val="1"/>
        </w:numPr>
        <w:spacing w:after="80"/>
      </w:pPr>
      <w:r>
        <w:rPr>
          <w:rFonts w:ascii="Tenorite" w:cs="Tenorite" w:eastAsia="Tenorite" w:hAnsi="Tenorite"/>
          <w:b/>
          <w:bCs/>
          <w:color w:val="000000"/>
          <w:sz w:val="21"/>
          <w:szCs w:val="21"/>
        </w:rPr>
        <w:t xml:space="preserve">VAL-138/139</w:t>
      </w:r>
      <w:r>
        <w:rPr>
          <w:rFonts w:ascii="Tenorite" w:cs="Tenorite" w:eastAsia="Tenorite" w:hAnsi="Tenorite"/>
          <w:color w:val="000000"/>
          <w:sz w:val="21"/>
          <w:szCs w:val="21"/>
        </w:rPr>
        <w:t xml:space="preserve">: Unbilled Usage screen requires mandatory MSISDN + a date range constrained to the current billing cycle (large enterprise accounts are exception-listed because the query otherwise hangs the system).</w:t>
      </w:r>
    </w:p>
    <w:p>
      <w:pPr>
        <w:pStyle w:val="ListParagraph"/>
        <w:numPr>
          <w:ilvl w:val="0"/>
          <w:numId w:val="1"/>
        </w:numPr>
        <w:spacing w:after="80"/>
      </w:pPr>
      <w:r>
        <w:rPr>
          <w:rFonts w:ascii="Tenorite" w:cs="Tenorite" w:eastAsia="Tenorite" w:hAnsi="Tenorite"/>
          <w:b/>
          <w:bCs/>
          <w:color w:val="000000"/>
          <w:sz w:val="21"/>
          <w:szCs w:val="21"/>
        </w:rPr>
        <w:t xml:space="preserve">VAL-140</w:t>
      </w:r>
      <w:r>
        <w:rPr>
          <w:rFonts w:ascii="Tenorite" w:cs="Tenorite" w:eastAsia="Tenorite" w:hAnsi="Tenorite"/>
          <w:color w:val="000000"/>
          <w:sz w:val="21"/>
          <w:szCs w:val="21"/>
        </w:rPr>
        <w:t xml:space="preserve">: Enterprise account creation requires a mandatory CR-number search before the account can be created.</w:t>
      </w:r>
    </w:p>
    <w:p>
      <w:pPr>
        <w:pStyle w:val="ListParagraph"/>
        <w:numPr>
          <w:ilvl w:val="0"/>
          <w:numId w:val="1"/>
        </w:numPr>
        <w:spacing w:after="80"/>
      </w:pPr>
      <w:r>
        <w:rPr>
          <w:rFonts w:ascii="Tenorite" w:cs="Tenorite" w:eastAsia="Tenorite" w:hAnsi="Tenorite"/>
          <w:b/>
          <w:bCs/>
          <w:color w:val="000000"/>
          <w:sz w:val="21"/>
          <w:szCs w:val="21"/>
        </w:rPr>
        <w:t xml:space="preserve">VAL-141</w:t>
      </w:r>
      <w:r>
        <w:rPr>
          <w:rFonts w:ascii="Tenorite" w:cs="Tenorite" w:eastAsia="Tenorite" w:hAnsi="Tenorite"/>
          <w:color w:val="000000"/>
          <w:sz w:val="21"/>
          <w:szCs w:val="21"/>
        </w:rPr>
        <w:t xml:space="preserve">: Enterprise accounts have </w:t>
      </w:r>
      <w:r>
        <w:rPr>
          <w:rFonts w:ascii="Tenorite" w:cs="Tenorite" w:eastAsia="Tenorite" w:hAnsi="Tenorite"/>
          <w:b/>
          <w:bCs/>
          <w:color w:val="000000"/>
          <w:sz w:val="21"/>
          <w:szCs w:val="21"/>
        </w:rPr>
        <w:t xml:space="preserve">no default credit limit</w:t>
      </w:r>
      <w:r>
        <w:rPr>
          <w:rFonts w:ascii="Tenorite" w:cs="Tenorite" w:eastAsia="Tenorite" w:hAnsi="Tenorite"/>
          <w:color w:val="000000"/>
          <w:sz w:val="21"/>
          <w:szCs w:val="21"/>
        </w:rPr>
        <w:t xml:space="preserve"> and require business-finance approval — a materially different control path from consumer accounts.</w:t>
      </w:r>
    </w:p>
    <w:p>
      <w:pPr>
        <w:pStyle w:val="ListParagraph"/>
        <w:numPr>
          <w:ilvl w:val="0"/>
          <w:numId w:val="1"/>
        </w:numPr>
        <w:spacing w:after="80"/>
      </w:pPr>
      <w:r>
        <w:rPr>
          <w:rFonts w:ascii="Tenorite" w:cs="Tenorite" w:eastAsia="Tenorite" w:hAnsi="Tenorite"/>
          <w:b/>
          <w:bCs/>
          <w:color w:val="000000"/>
          <w:sz w:val="21"/>
          <w:szCs w:val="21"/>
        </w:rPr>
        <w:t xml:space="preserve">VAL-142</w:t>
      </w:r>
      <w:r>
        <w:rPr>
          <w:rFonts w:ascii="Tenorite" w:cs="Tenorite" w:eastAsia="Tenorite" w:hAnsi="Tenorite"/>
          <w:color w:val="000000"/>
          <w:sz w:val="21"/>
          <w:szCs w:val="21"/>
        </w:rPr>
        <w:t xml:space="preserve">: A sub-account affiliation attachment must be named exactly "QID_subaccount" or (implicitly) is not recognized.</w:t>
      </w:r>
    </w:p>
    <w:p>
      <w:pPr>
        <w:pStyle w:val="ListParagraph"/>
        <w:numPr>
          <w:ilvl w:val="0"/>
          <w:numId w:val="1"/>
        </w:numPr>
        <w:spacing w:after="80"/>
      </w:pPr>
      <w:r>
        <w:rPr>
          <w:rFonts w:ascii="Tenorite" w:cs="Tenorite" w:eastAsia="Tenorite" w:hAnsi="Tenorite"/>
          <w:b/>
          <w:bCs/>
          <w:color w:val="000000"/>
          <w:sz w:val="21"/>
          <w:szCs w:val="21"/>
        </w:rPr>
        <w:t xml:space="preserve">VAL-143</w:t>
      </w:r>
      <w:r>
        <w:rPr>
          <w:rFonts w:ascii="Tenorite" w:cs="Tenorite" w:eastAsia="Tenorite" w:hAnsi="Tenorite"/>
          <w:color w:val="000000"/>
          <w:sz w:val="21"/>
          <w:szCs w:val="21"/>
        </w:rPr>
        <w:t xml:space="preserve">: Enterprise "chooser" requests are only accepted from the chooser's registered email address.</w:t>
      </w:r>
    </w:p>
    <w:p>
      <w:pPr>
        <w:pStyle w:val="ListParagraph"/>
        <w:numPr>
          <w:ilvl w:val="0"/>
          <w:numId w:val="1"/>
        </w:numPr>
        <w:spacing w:after="80"/>
      </w:pPr>
      <w:r>
        <w:rPr>
          <w:rFonts w:ascii="Tenorite" w:cs="Tenorite" w:eastAsia="Tenorite" w:hAnsi="Tenorite"/>
          <w:b/>
          <w:bCs/>
          <w:color w:val="000000"/>
          <w:sz w:val="21"/>
          <w:szCs w:val="21"/>
        </w:rPr>
        <w:t xml:space="preserve">VAL-216 (business-critical)</w:t>
      </w:r>
      <w:r>
        <w:rPr>
          <w:rFonts w:ascii="Tenorite" w:cs="Tenorite" w:eastAsia="Tenorite" w:hAnsi="Tenorite"/>
          <w:color w:val="000000"/>
          <w:sz w:val="21"/>
          <w:szCs w:val="21"/>
        </w:rPr>
        <w:t xml:space="preserve">: Credit Limit defaults to 1,000 QAR (expat) / 50 QAR (HRN), but </w:t>
      </w:r>
      <w:r>
        <w:rPr>
          <w:rFonts w:ascii="Tenorite" w:cs="Tenorite" w:eastAsia="Tenorite" w:hAnsi="Tenorite"/>
          <w:b/>
          <w:bCs/>
          <w:color w:val="000000"/>
          <w:sz w:val="21"/>
          <w:szCs w:val="21"/>
        </w:rPr>
        <w:t xml:space="preserve">no system restriction today prevents an agent from selecting any value</w:t>
      </w:r>
      <w:r>
        <w:rPr>
          <w:rFonts w:ascii="Tenorite" w:cs="Tenorite" w:eastAsia="Tenorite" w:hAnsi="Tenorite"/>
          <w:color w:val="000000"/>
          <w:sz w:val="21"/>
          <w:szCs w:val="21"/>
        </w:rPr>
        <w:t xml:space="preserve"> — an explicitly flagged uncontrolled-exposure gap.</w:t>
      </w:r>
    </w:p>
    <w:p>
      <w:pPr>
        <w:pStyle w:val="ListParagraph"/>
        <w:numPr>
          <w:ilvl w:val="0"/>
          <w:numId w:val="1"/>
        </w:numPr>
        <w:spacing w:after="80"/>
      </w:pPr>
      <w:r>
        <w:rPr>
          <w:rFonts w:ascii="Tenorite" w:cs="Tenorite" w:eastAsia="Tenorite" w:hAnsi="Tenorite"/>
          <w:b/>
          <w:bCs/>
          <w:color w:val="000000"/>
          <w:sz w:val="21"/>
          <w:szCs w:val="21"/>
        </w:rPr>
        <w:t xml:space="preserve">VAL-356/357 (business-critical)</w:t>
      </w:r>
      <w:r>
        <w:rPr>
          <w:rFonts w:ascii="Tenorite" w:cs="Tenorite" w:eastAsia="Tenorite" w:hAnsi="Tenorite"/>
          <w:color w:val="000000"/>
          <w:sz w:val="21"/>
          <w:szCs w:val="21"/>
        </w:rPr>
        <w:t xml:space="preserve">: Bill/Spend Limit cannot be set below the product's configured "Agent Min Value" floor; violating it fails order validation with a raw backend code, e.g. "Bill Limit can not be set lower than Agent Minimum 80 ... Reference # 1-DAFQWTQ.(SBL-EXL-00151)".</w:t>
      </w:r>
    </w:p>
    <w:p>
      <w:pPr>
        <w:pStyle w:val="ListParagraph"/>
        <w:numPr>
          <w:ilvl w:val="0"/>
          <w:numId w:val="1"/>
        </w:numPr>
        <w:spacing w:after="80"/>
      </w:pPr>
      <w:r>
        <w:rPr>
          <w:rFonts w:ascii="Tenorite" w:cs="Tenorite" w:eastAsia="Tenorite" w:hAnsi="Tenorite"/>
          <w:b/>
          <w:bCs/>
          <w:color w:val="000000"/>
          <w:sz w:val="21"/>
          <w:szCs w:val="21"/>
        </w:rPr>
        <w:t xml:space="preserve">VAL-358 (business-critical)</w:t>
      </w:r>
      <w:r>
        <w:rPr>
          <w:rFonts w:ascii="Tenorite" w:cs="Tenorite" w:eastAsia="Tenorite" w:hAnsi="Tenorite"/>
          <w:color w:val="000000"/>
          <w:sz w:val="21"/>
          <w:szCs w:val="21"/>
        </w:rPr>
        <w:t xml:space="preserve">: Clicking "Validate" on an order enforces that </w:t>
      </w:r>
      <w:r>
        <w:rPr>
          <w:rFonts w:ascii="Tenorite" w:cs="Tenorite" w:eastAsia="Tenorite" w:hAnsi="Tenorite"/>
          <w:b/>
          <w:bCs/>
          <w:color w:val="000000"/>
          <w:sz w:val="21"/>
          <w:szCs w:val="21"/>
        </w:rPr>
        <w:t xml:space="preserve">Maximum Bill Limit cannot exceed the account's Credit Limit</w:t>
      </w:r>
      <w:r>
        <w:rPr>
          <w:rFonts w:ascii="Tenorite" w:cs="Tenorite" w:eastAsia="Tenorite" w:hAnsi="Tenorite"/>
          <w:color w:val="000000"/>
          <w:sz w:val="21"/>
          <w:szCs w:val="21"/>
        </w:rPr>
        <w:t xml:space="preserve">, surfaced as an agent-facing dialogue instructing the agent to communicate this to the customer.</w:t>
      </w:r>
    </w:p>
    <w:p>
      <w:pPr>
        <w:pStyle w:val="ListParagraph"/>
        <w:numPr>
          <w:ilvl w:val="0"/>
          <w:numId w:val="1"/>
        </w:numPr>
        <w:spacing w:after="80"/>
      </w:pPr>
      <w:r>
        <w:rPr>
          <w:rFonts w:ascii="Tenorite" w:cs="Tenorite" w:eastAsia="Tenorite" w:hAnsi="Tenorite"/>
          <w:b/>
          <w:bCs/>
          <w:color w:val="000000"/>
          <w:sz w:val="21"/>
          <w:szCs w:val="21"/>
        </w:rPr>
        <w:t xml:space="preserve">VAL-091</w:t>
      </w:r>
      <w:r>
        <w:rPr>
          <w:rFonts w:ascii="Tenorite" w:cs="Tenorite" w:eastAsia="Tenorite" w:hAnsi="Tenorite"/>
          <w:color w:val="000000"/>
          <w:sz w:val="21"/>
          <w:szCs w:val="21"/>
        </w:rPr>
        <w:t xml:space="preserve">: MOI (Ministry of Interior) validation is auto-triggered for QID-based contacts before contact confirmation is allowed to proceed.</w:t>
      </w:r>
    </w:p>
    <w:p>
      <w:pPr>
        <w:pStyle w:val="ListParagraph"/>
        <w:numPr>
          <w:ilvl w:val="0"/>
          <w:numId w:val="1"/>
        </w:numPr>
        <w:spacing w:after="80"/>
      </w:pPr>
      <w:r>
        <w:rPr>
          <w:rFonts w:ascii="Tenorite" w:cs="Tenorite" w:eastAsia="Tenorite" w:hAnsi="Tenorite"/>
          <w:color w:val="000000"/>
          <w:sz w:val="21"/>
          <w:szCs w:val="21"/>
        </w:rPr>
        <w:t xml:space="preserve">A related business rule requires </w:t>
      </w:r>
      <w:r>
        <w:rPr>
          <w:rFonts w:ascii="Tenorite" w:cs="Tenorite" w:eastAsia="Tenorite" w:hAnsi="Tenorite"/>
          <w:b/>
          <w:bCs/>
          <w:color w:val="000000"/>
          <w:sz w:val="21"/>
          <w:szCs w:val="21"/>
        </w:rPr>
        <w:t xml:space="preserve">age validation via MOI/date-of-birth</w:t>
      </w:r>
      <w:r>
        <w:rPr>
          <w:rFonts w:ascii="Tenorite" w:cs="Tenorite" w:eastAsia="Tenorite" w:hAnsi="Tenorite"/>
          <w:color w:val="000000"/>
          <w:sz w:val="21"/>
          <w:szCs w:val="21"/>
        </w:rPr>
        <w:t xml:space="preserve"> for Transfer-of-Ownership requests (recipient must not be a minor), with a documented 5–8 day MOI database sync-lag risk.</w:t>
      </w:r>
    </w:p>
    <w:p>
      <w:pPr>
        <w:pStyle w:val="ListParagraph"/>
        <w:numPr>
          <w:ilvl w:val="0"/>
          <w:numId w:val="1"/>
        </w:numPr>
        <w:spacing w:after="80"/>
      </w:pPr>
      <w:r>
        <w:rPr>
          <w:rFonts w:ascii="Tenorite" w:cs="Tenorite" w:eastAsia="Tenorite" w:hAnsi="Tenorite"/>
          <w:b/>
          <w:bCs/>
          <w:color w:val="000000"/>
          <w:sz w:val="21"/>
          <w:szCs w:val="21"/>
        </w:rPr>
        <w:t xml:space="preserve">VAL-193</w:t>
      </w:r>
      <w:r>
        <w:rPr>
          <w:rFonts w:ascii="Tenorite" w:cs="Tenorite" w:eastAsia="Tenorite" w:hAnsi="Tenorite"/>
          <w:color w:val="000000"/>
          <w:sz w:val="21"/>
          <w:szCs w:val="21"/>
        </w:rPr>
        <w:t xml:space="preserve">: Trouble Ticket source is constrained to a controlled set (agent-created, system-generated via eShop/NPAS/portal, Open UI Excel import, or customer-originated via MVA).</w:t>
      </w:r>
    </w:p>
    <w:p>
      <w:pPr>
        <w:pStyle w:val="ListParagraph"/>
        <w:numPr>
          <w:ilvl w:val="0"/>
          <w:numId w:val="1"/>
        </w:numPr>
        <w:spacing w:after="80"/>
      </w:pPr>
      <w:r>
        <w:rPr>
          <w:rFonts w:ascii="Tenorite" w:cs="Tenorite" w:eastAsia="Tenorite" w:hAnsi="Tenorite"/>
          <w:color w:val="000000"/>
          <w:sz w:val="21"/>
          <w:szCs w:val="21"/>
        </w:rPr>
        <w:t xml:space="preserve">Park-My-Number plan rule: a 35 QAR / 4-month prepaid plan is enforced with credit limit hard-set to zero and access restricted to specific roles.</w:t>
      </w:r>
    </w:p>
    <w:p>
      <w:pPr>
        <w:pStyle w:val="Heading2"/>
        <w:spacing w:after="120" w:before="260"/>
      </w:pPr>
      <w:r>
        <w:t xml:space="preserve">5. Approval &amp; Notification Workflows</w:t>
      </w:r>
    </w:p>
    <w:p>
      <w:pPr>
        <w:spacing w:after="160" w:line="300"/>
      </w:pPr>
      <w:r>
        <w:rPr>
          <w:rFonts w:ascii="Tenorite" w:cs="Tenorite" w:eastAsia="Tenorite" w:hAnsi="Tenorite"/>
          <w:b/>
          <w:bCs/>
          <w:color w:val="000000"/>
          <w:sz w:val="21"/>
          <w:szCs w:val="21"/>
        </w:rPr>
        <w:t xml:space="preserve">Manager-approval queues</w:t>
      </w:r>
      <w:r>
        <w:rPr>
          <w:rFonts w:ascii="Tenorite" w:cs="Tenorite" w:eastAsia="Tenorite" w:hAnsi="Tenorite"/>
          <w:color w:val="000000"/>
          <w:sz w:val="21"/>
          <w:szCs w:val="21"/>
        </w:rPr>
        <w:t xml:space="preserve"> recur as a workflow pattern rather than a single screen: an Order enters a Manager's "Order Approval queue" when routing conditions are met (e.g. HRN customer, credit-limit edit — UJ-083, WF-718/719), the manager uses "Assign to Me" to claim it, then Approves (pop-up requiring a verification-acknowledgment statement + comments) or Rejects (multi-select reason code + comments, optionally triggering an SMS). Desktop and Tablet channels diverge here: Tablet's SIM Swap approval flow adds an extra "Validate Attachments" step not present on Desktop, and lands the approver on "My Activities Page" afterward rather than the queue (responsive-behaviour-catalogue.md §1.1).</w:t>
      </w:r>
    </w:p>
    <w:p>
      <w:pPr>
        <w:spacing w:after="160" w:line="300"/>
      </w:pPr>
      <w:r>
        <w:rPr>
          <w:rFonts w:ascii="Tenorite" w:cs="Tenorite" w:eastAsia="Tenorite" w:hAnsi="Tenorite"/>
          <w:color w:val="000000"/>
          <w:sz w:val="21"/>
          <w:szCs w:val="21"/>
        </w:rPr>
        <w:t xml:space="preserve">notification-catalogue.md catalogues </w:t>
      </w:r>
      <w:r>
        <w:rPr>
          <w:rFonts w:ascii="Tenorite" w:cs="Tenorite" w:eastAsia="Tenorite" w:hAnsi="Tenorite"/>
          <w:b/>
          <w:bCs/>
          <w:color w:val="000000"/>
          <w:sz w:val="21"/>
          <w:szCs w:val="21"/>
        </w:rPr>
        <w:t xml:space="preserve">39 automatic SMS templates</w:t>
      </w:r>
      <w:r>
        <w:rPr>
          <w:rFonts w:ascii="Tenorite" w:cs="Tenorite" w:eastAsia="Tenorite" w:hAnsi="Tenorite"/>
          <w:color w:val="000000"/>
          <w:sz w:val="21"/>
          <w:szCs w:val="21"/>
        </w:rPr>
        <w:t xml:space="preserve"> (from a 1,236-row manual-template workbook too large to reproduce; only system-triggered templates are catalogued) plus </w:t>
      </w:r>
      <w:r>
        <w:rPr>
          <w:rFonts w:ascii="Tenorite" w:cs="Tenorite" w:eastAsia="Tenorite" w:hAnsi="Tenorite"/>
          <w:b/>
          <w:bCs/>
          <w:color w:val="000000"/>
          <w:sz w:val="21"/>
          <w:szCs w:val="21"/>
        </w:rPr>
        <w:t xml:space="preserve">79 verbatim in-app error/warning messages</w:t>
      </w:r>
      <w:r>
        <w:rPr>
          <w:rFonts w:ascii="Tenorite" w:cs="Tenorite" w:eastAsia="Tenorite" w:hAnsi="Tenorite"/>
          <w:color w:val="000000"/>
          <w:sz w:val="21"/>
          <w:szCs w:val="21"/>
        </w:rPr>
        <w:t xml:space="preserve"> captured within field-inventory.md.</w:t>
      </w:r>
    </w:p>
    <w:p>
      <w:pPr>
        <w:spacing w:after="160" w:line="300"/>
      </w:pPr>
      <w:r>
        <w:rPr>
          <w:rFonts w:ascii="Tenorite" w:cs="Tenorite" w:eastAsia="Tenorite" w:hAnsi="Tenorite"/>
          <w:color w:val="000000"/>
          <w:sz w:val="21"/>
          <w:szCs w:val="21"/>
        </w:rPr>
        <w:t xml:space="preserve">SMS examples:</w:t>
      </w:r>
    </w:p>
    <w:p>
      <w:pPr>
        <w:pStyle w:val="ListParagraph"/>
        <w:numPr>
          <w:ilvl w:val="0"/>
          <w:numId w:val="1"/>
        </w:numPr>
        <w:spacing w:after="80"/>
      </w:pPr>
      <w:r>
        <w:rPr>
          <w:rFonts w:ascii="Tenorite" w:cs="Tenorite" w:eastAsia="Tenorite" w:hAnsi="Tenorite"/>
          <w:b/>
          <w:bCs/>
          <w:color w:val="000000"/>
          <w:sz w:val="21"/>
          <w:szCs w:val="21"/>
        </w:rPr>
        <w:t xml:space="preserve">NOTIF-002</w:t>
      </w:r>
      <w:r>
        <w:rPr>
          <w:rFonts w:ascii="Tenorite" w:cs="Tenorite" w:eastAsia="Tenorite" w:hAnsi="Tenorite"/>
          <w:color w:val="000000"/>
          <w:sz w:val="21"/>
          <w:szCs w:val="21"/>
        </w:rPr>
        <w:t xml:space="preserve"> Transfer-of-Ownership confirmation: "We have received your request for 'Transfer of ownership' Your request number is [Service Request.SR Number]..."</w:t>
      </w:r>
    </w:p>
    <w:p>
      <w:pPr>
        <w:pStyle w:val="ListParagraph"/>
        <w:numPr>
          <w:ilvl w:val="0"/>
          <w:numId w:val="1"/>
        </w:numPr>
        <w:spacing w:after="80"/>
      </w:pPr>
      <w:r>
        <w:rPr>
          <w:rFonts w:ascii="Tenorite" w:cs="Tenorite" w:eastAsia="Tenorite" w:hAnsi="Tenorite"/>
          <w:b/>
          <w:bCs/>
          <w:color w:val="000000"/>
          <w:sz w:val="21"/>
          <w:szCs w:val="21"/>
        </w:rPr>
        <w:t xml:space="preserve">NOTIF-006</w:t>
      </w:r>
      <w:r>
        <w:rPr>
          <w:rFonts w:ascii="Tenorite" w:cs="Tenorite" w:eastAsia="Tenorite" w:hAnsi="Tenorite"/>
          <w:color w:val="000000"/>
          <w:sz w:val="21"/>
          <w:szCs w:val="21"/>
        </w:rPr>
        <w:t xml:space="preserve"> Disconnection request acknowledgment, including a warning that outstanding bills must be settled or the request will be rejected.</w:t>
      </w:r>
    </w:p>
    <w:p>
      <w:pPr>
        <w:pStyle w:val="ListParagraph"/>
        <w:numPr>
          <w:ilvl w:val="0"/>
          <w:numId w:val="1"/>
        </w:numPr>
        <w:spacing w:after="80"/>
      </w:pPr>
      <w:r>
        <w:rPr>
          <w:rFonts w:ascii="Tenorite" w:cs="Tenorite" w:eastAsia="Tenorite" w:hAnsi="Tenorite"/>
          <w:b/>
          <w:bCs/>
          <w:color w:val="000000"/>
          <w:sz w:val="21"/>
          <w:szCs w:val="21"/>
        </w:rPr>
        <w:t xml:space="preserve">NOTIF-007</w:t>
      </w:r>
      <w:r>
        <w:rPr>
          <w:rFonts w:ascii="Tenorite" w:cs="Tenorite" w:eastAsia="Tenorite" w:hAnsi="Tenorite"/>
          <w:color w:val="000000"/>
          <w:sz w:val="21"/>
          <w:szCs w:val="21"/>
        </w:rPr>
        <w:t xml:space="preserve"> Migration-to-Prepaid confirmation, referencing a QAR 100 migration fee.</w:t>
      </w:r>
    </w:p>
    <w:p>
      <w:pPr>
        <w:pStyle w:val="ListParagraph"/>
        <w:numPr>
          <w:ilvl w:val="0"/>
          <w:numId w:val="1"/>
        </w:numPr>
        <w:spacing w:after="80"/>
      </w:pPr>
      <w:r>
        <w:rPr>
          <w:rFonts w:ascii="Tenorite" w:cs="Tenorite" w:eastAsia="Tenorite" w:hAnsi="Tenorite"/>
          <w:b/>
          <w:bCs/>
          <w:color w:val="000000"/>
          <w:sz w:val="21"/>
          <w:szCs w:val="21"/>
        </w:rPr>
        <w:t xml:space="preserve">NOTIF-024</w:t>
      </w:r>
      <w:r>
        <w:rPr>
          <w:rFonts w:ascii="Tenorite" w:cs="Tenorite" w:eastAsia="Tenorite" w:hAnsi="Tenorite"/>
          <w:color w:val="000000"/>
          <w:sz w:val="21"/>
          <w:szCs w:val="21"/>
        </w:rPr>
        <w:t xml:space="preserve"> VFQA_SALES_REJECTION_TASK — an internal/agent-facing notification (not customer-facing) fired when a Fixed Line order is set to Pending due to a sales-rejection task.</w:t>
      </w:r>
    </w:p>
    <w:p>
      <w:pPr>
        <w:spacing w:after="160" w:line="300"/>
      </w:pPr>
      <w:r>
        <w:rPr>
          <w:rFonts w:ascii="Tenorite" w:cs="Tenorite" w:eastAsia="Tenorite" w:hAnsi="Tenorite"/>
          <w:color w:val="000000"/>
          <w:sz w:val="21"/>
          <w:szCs w:val="21"/>
        </w:rPr>
        <w:t xml:space="preserve">In-app error examples:</w:t>
      </w:r>
    </w:p>
    <w:p>
      <w:pPr>
        <w:pStyle w:val="ListParagraph"/>
        <w:numPr>
          <w:ilvl w:val="0"/>
          <w:numId w:val="1"/>
        </w:numPr>
        <w:spacing w:after="80"/>
      </w:pPr>
      <w:r>
        <w:rPr>
          <w:rFonts w:ascii="Tenorite" w:cs="Tenorite" w:eastAsia="Tenorite" w:hAnsi="Tenorite"/>
          <w:b/>
          <w:bCs/>
          <w:color w:val="000000"/>
          <w:sz w:val="21"/>
          <w:szCs w:val="21"/>
        </w:rPr>
        <w:t xml:space="preserve">FLD-289</w:t>
      </w:r>
      <w:r>
        <w:rPr>
          <w:rFonts w:ascii="Tenorite" w:cs="Tenorite" w:eastAsia="Tenorite" w:hAnsi="Tenorite"/>
          <w:color w:val="000000"/>
          <w:sz w:val="21"/>
          <w:szCs w:val="21"/>
        </w:rPr>
        <w:t xml:space="preserve">: "WARNING: Appointment once booked cannot be cancelled..." (blocking confirmation before appointment booking).</w:t>
      </w:r>
    </w:p>
    <w:p>
      <w:pPr>
        <w:pStyle w:val="ListParagraph"/>
        <w:numPr>
          <w:ilvl w:val="0"/>
          <w:numId w:val="1"/>
        </w:numPr>
        <w:spacing w:after="80"/>
      </w:pPr>
      <w:r>
        <w:rPr>
          <w:rFonts w:ascii="Tenorite" w:cs="Tenorite" w:eastAsia="Tenorite" w:hAnsi="Tenorite"/>
          <w:b/>
          <w:bCs/>
          <w:color w:val="000000"/>
          <w:sz w:val="21"/>
          <w:szCs w:val="21"/>
        </w:rPr>
        <w:t xml:space="preserve">FLD-306</w:t>
      </w:r>
      <w:r>
        <w:rPr>
          <w:rFonts w:ascii="Tenorite" w:cs="Tenorite" w:eastAsia="Tenorite" w:hAnsi="Tenorite"/>
          <w:color w:val="000000"/>
          <w:sz w:val="21"/>
          <w:szCs w:val="21"/>
        </w:rPr>
        <w:t xml:space="preserve">: A detected-device confirmation dialogue asking the agent to verify a scanned CPE/ONT serial number before "Instant Activation."</w:t>
      </w:r>
    </w:p>
    <w:p>
      <w:pPr>
        <w:pStyle w:val="ListParagraph"/>
        <w:numPr>
          <w:ilvl w:val="0"/>
          <w:numId w:val="1"/>
        </w:numPr>
        <w:spacing w:after="80"/>
      </w:pPr>
      <w:r>
        <w:rPr>
          <w:rFonts w:ascii="Tenorite" w:cs="Tenorite" w:eastAsia="Tenorite" w:hAnsi="Tenorite"/>
          <w:b/>
          <w:bCs/>
          <w:color w:val="000000"/>
          <w:sz w:val="21"/>
          <w:szCs w:val="21"/>
        </w:rPr>
        <w:t xml:space="preserve">FLD-325</w:t>
      </w:r>
      <w:r>
        <w:rPr>
          <w:rFonts w:ascii="Tenorite" w:cs="Tenorite" w:eastAsia="Tenorite" w:hAnsi="Tenorite"/>
          <w:color w:val="000000"/>
          <w:sz w:val="21"/>
          <w:szCs w:val="21"/>
        </w:rPr>
        <w:t xml:space="preserve">: "Customer already refused the service" (contact-level warning).</w:t>
      </w:r>
    </w:p>
    <w:p>
      <w:pPr>
        <w:spacing w:after="160" w:line="300"/>
      </w:pPr>
      <w:r>
        <w:rPr>
          <w:rFonts w:ascii="Tenorite" w:cs="Tenorite" w:eastAsia="Tenorite" w:hAnsi="Tenorite"/>
          <w:color w:val="000000"/>
          <w:sz w:val="21"/>
          <w:szCs w:val="21"/>
        </w:rPr>
        <w:t xml:space="preserve">The corpus documents message </w:t>
      </w:r>
      <w:r>
        <w:rPr>
          <w:rFonts w:ascii="Tenorite" w:cs="Tenorite" w:eastAsia="Tenorite" w:hAnsi="Tenorite"/>
          <w:i/>
          <w:iCs/>
          <w:color w:val="000000"/>
          <w:sz w:val="21"/>
          <w:szCs w:val="21"/>
        </w:rPr>
        <w:t xml:space="preserve">content and trigger conditions</w:t>
      </w:r>
      <w:r>
        <w:rPr>
          <w:rFonts w:ascii="Tenorite" w:cs="Tenorite" w:eastAsia="Tenorite" w:hAnsi="Tenorite"/>
          <w:color w:val="000000"/>
          <w:sz w:val="21"/>
          <w:szCs w:val="21"/>
        </w:rPr>
        <w:t xml:space="preserve"> thoroughly but </w:t>
      </w:r>
      <w:r>
        <w:rPr>
          <w:rFonts w:ascii="Tenorite" w:cs="Tenorite" w:eastAsia="Tenorite" w:hAnsi="Tenorite"/>
          <w:b/>
          <w:bCs/>
          <w:color w:val="000000"/>
          <w:sz w:val="21"/>
          <w:szCs w:val="21"/>
        </w:rPr>
        <w:t xml:space="preserve">not a formal UI-severity taxonomy</w:t>
      </w:r>
      <w:r>
        <w:rPr>
          <w:rFonts w:ascii="Tenorite" w:cs="Tenorite" w:eastAsia="Tenorite" w:hAnsi="Tenorite"/>
          <w:color w:val="000000"/>
          <w:sz w:val="21"/>
          <w:szCs w:val="21"/>
        </w:rPr>
        <w:t xml:space="preserve"> (toast vs. banner vs. modal); notification-catalogue.md §4 supplies an </w:t>
      </w:r>
      <w:r>
        <w:rPr>
          <w:rFonts w:ascii="Tenorite" w:cs="Tenorite" w:eastAsia="Tenorite" w:hAnsi="Tenorite"/>
          <w:b/>
          <w:bCs/>
          <w:color w:val="000000"/>
          <w:sz w:val="21"/>
          <w:szCs w:val="21"/>
        </w:rPr>
        <w:t xml:space="preserve">Assumed</w:t>
      </w:r>
      <w:r>
        <w:rPr>
          <w:rFonts w:ascii="Tenorite" w:cs="Tenorite" w:eastAsia="Tenorite" w:hAnsi="Tenorite"/>
          <w:color w:val="000000"/>
          <w:sz w:val="21"/>
          <w:szCs w:val="21"/>
        </w:rPr>
        <w:t xml:space="preserve"> mapping (inline field error / blocking banner / auto-dismiss toast / acknowledgment modal) as a recommendation, explicitly flagged as not evidenced, and recommends </w:t>
      </w:r>
      <w:r>
        <w:rPr>
          <w:rFonts w:ascii="Tenorite" w:cs="Tenorite" w:eastAsia="Tenorite" w:hAnsi="Tenorite"/>
          <w:b/>
          <w:bCs/>
          <w:color w:val="000000"/>
          <w:sz w:val="21"/>
          <w:szCs w:val="21"/>
        </w:rPr>
        <w:t xml:space="preserve">not</w:t>
      </w:r>
      <w:r>
        <w:rPr>
          <w:rFonts w:ascii="Tenorite" w:cs="Tenorite" w:eastAsia="Tenorite" w:hAnsi="Tenorite"/>
          <w:color w:val="000000"/>
          <w:sz w:val="21"/>
          <w:szCs w:val="21"/>
        </w:rPr>
        <w:t xml:space="preserve"> carrying forward legacy native browser </w:t>
      </w:r>
      <w:r>
        <w:rPr>
          <w:rFonts w:ascii="Tenorite" w:cs="Tenorite" w:eastAsia="Tenorite" w:hAnsi="Tenorite"/>
          <w:color w:val="000000"/>
          <w:sz w:val="21"/>
          <w:szCs w:val="21"/>
        </w:rPr>
        <w:t xml:space="preserve">alert()</w:t>
      </w:r>
      <w:r>
        <w:rPr>
          <w:rFonts w:ascii="Tenorite" w:cs="Tenorite" w:eastAsia="Tenorite" w:hAnsi="Tenorite"/>
          <w:color w:val="000000"/>
          <w:sz w:val="21"/>
          <w:szCs w:val="21"/>
        </w:rPr>
        <w:t xml:space="preserve"> popups into the new DXP.</w:t>
      </w:r>
    </w:p>
    <w:p>
      <w:pPr>
        <w:pStyle w:val="Heading2"/>
        <w:spacing w:after="120" w:before="260"/>
      </w:pPr>
      <w:r>
        <w:t xml:space="preserve">6. Integration Points</w:t>
      </w:r>
    </w:p>
    <w:p>
      <w:pPr>
        <w:spacing w:after="160" w:line="300"/>
      </w:pPr>
      <w:r>
        <w:rPr>
          <w:rFonts w:ascii="Tenorite" w:cs="Tenorite" w:eastAsia="Tenorite" w:hAnsi="Tenorite"/>
          <w:color w:val="000000"/>
          <w:sz w:val="21"/>
          <w:szCs w:val="21"/>
        </w:rPr>
        <w:t xml:space="preserve">Across the corpus, the legacy stack integrates with (and the new DXP will need to account for):</w:t>
      </w:r>
    </w:p>
    <w:p>
      <w:pPr>
        <w:pStyle w:val="ListParagraph"/>
        <w:numPr>
          <w:ilvl w:val="0"/>
          <w:numId w:val="1"/>
        </w:numPr>
        <w:spacing w:after="80"/>
      </w:pPr>
      <w:r>
        <w:rPr>
          <w:rFonts w:ascii="Tenorite" w:cs="Tenorite" w:eastAsia="Tenorite" w:hAnsi="Tenorite"/>
          <w:b/>
          <w:bCs/>
          <w:color w:val="000000"/>
          <w:sz w:val="21"/>
          <w:szCs w:val="21"/>
        </w:rPr>
        <w:t xml:space="preserve">UIM</w:t>
      </w:r>
      <w:r>
        <w:rPr>
          <w:rFonts w:ascii="Tenorite" w:cs="Tenorite" w:eastAsia="Tenorite" w:hAnsi="Tenorite"/>
          <w:color w:val="000000"/>
          <w:sz w:val="21"/>
          <w:szCs w:val="21"/>
        </w:rPr>
        <w:t xml:space="preserve"> (inventory management) — SIM/CPE serial validation at order time; a documented failure mode is raw backend error codes surfaced verbatim to agents, e.g. "SIM Card does not exist in UIM(SBL-EXL-00151)" and "CPE Serial Number ... is not free in UIM(SBL-EXL-00151)" (exception-catalogue.md EXC-006/009/010).</w:t>
      </w:r>
    </w:p>
    <w:p>
      <w:pPr>
        <w:pStyle w:val="ListParagraph"/>
        <w:numPr>
          <w:ilvl w:val="0"/>
          <w:numId w:val="1"/>
        </w:numPr>
        <w:spacing w:after="80"/>
      </w:pPr>
      <w:r>
        <w:rPr>
          <w:rFonts w:ascii="Tenorite" w:cs="Tenorite" w:eastAsia="Tenorite" w:hAnsi="Tenorite"/>
          <w:b/>
          <w:bCs/>
          <w:color w:val="000000"/>
          <w:sz w:val="21"/>
          <w:szCs w:val="21"/>
        </w:rPr>
        <w:t xml:space="preserve">MOI</w:t>
      </w:r>
      <w:r>
        <w:rPr>
          <w:rFonts w:ascii="Tenorite" w:cs="Tenorite" w:eastAsia="Tenorite" w:hAnsi="Tenorite"/>
          <w:color w:val="000000"/>
          <w:sz w:val="21"/>
          <w:szCs w:val="21"/>
        </w:rPr>
        <w:t xml:space="preserve"> (Ministry of Interior national-ID records) — auto-triggered QID validation before contact confirmation (VAL-091), age/minor verification for Transfer-of-Ownership, with a known 5–8 day sync-lag risk.</w:t>
      </w:r>
    </w:p>
    <w:p>
      <w:pPr>
        <w:pStyle w:val="ListParagraph"/>
        <w:numPr>
          <w:ilvl w:val="0"/>
          <w:numId w:val="1"/>
        </w:numPr>
        <w:spacing w:after="80"/>
      </w:pPr>
      <w:r>
        <w:rPr>
          <w:rFonts w:ascii="Tenorite" w:cs="Tenorite" w:eastAsia="Tenorite" w:hAnsi="Tenorite"/>
          <w:b/>
          <w:bCs/>
          <w:color w:val="000000"/>
          <w:sz w:val="21"/>
          <w:szCs w:val="21"/>
        </w:rPr>
        <w:t xml:space="preserve">NPAS</w:t>
      </w:r>
      <w:r>
        <w:rPr>
          <w:rFonts w:ascii="Tenorite" w:cs="Tenorite" w:eastAsia="Tenorite" w:hAnsi="Tenorite"/>
          <w:color w:val="000000"/>
          <w:sz w:val="21"/>
          <w:szCs w:val="21"/>
        </w:rPr>
        <w:t xml:space="preserve"> (number-porting clearinghouse) — MNP port-in/port-out requests are routed via NPAS to the donor operator (e.g. Ooredoo), who has a defined response window to accept/reject/conditionally-accept; only 13 documented rejection reasons are valid, and rejection restarts the whole MNP journey.</w:t>
      </w:r>
    </w:p>
    <w:p>
      <w:pPr>
        <w:pStyle w:val="ListParagraph"/>
        <w:numPr>
          <w:ilvl w:val="0"/>
          <w:numId w:val="1"/>
        </w:numPr>
        <w:spacing w:after="80"/>
      </w:pPr>
      <w:r>
        <w:rPr>
          <w:rFonts w:ascii="Tenorite" w:cs="Tenorite" w:eastAsia="Tenorite" w:hAnsi="Tenorite"/>
          <w:b/>
          <w:bCs/>
          <w:color w:val="000000"/>
          <w:sz w:val="21"/>
          <w:szCs w:val="21"/>
        </w:rPr>
        <w:t xml:space="preserve">Unica</w:t>
      </w:r>
      <w:r>
        <w:rPr>
          <w:rFonts w:ascii="Tenorite" w:cs="Tenorite" w:eastAsia="Tenorite" w:hAnsi="Tenorite"/>
          <w:color w:val="000000"/>
          <w:sz w:val="21"/>
          <w:szCs w:val="21"/>
        </w:rPr>
        <w:t xml:space="preserve"> — the campaign engine sourcing system-pregenerated offers (e.g. "Postpaid U Start Promotion", CampaignCode C000006358) presented to agents during Pre-to-Post and cross-sell flows.</w:t>
      </w:r>
    </w:p>
    <w:p>
      <w:pPr>
        <w:pStyle w:val="ListParagraph"/>
        <w:numPr>
          <w:ilvl w:val="0"/>
          <w:numId w:val="1"/>
        </w:numPr>
        <w:spacing w:after="80"/>
      </w:pPr>
      <w:r>
        <w:rPr>
          <w:rFonts w:ascii="Tenorite" w:cs="Tenorite" w:eastAsia="Tenorite" w:hAnsi="Tenorite"/>
          <w:b/>
          <w:bCs/>
          <w:color w:val="000000"/>
          <w:sz w:val="21"/>
          <w:szCs w:val="21"/>
        </w:rPr>
        <w:t xml:space="preserve">EDW</w:t>
      </w:r>
      <w:r>
        <w:rPr>
          <w:rFonts w:ascii="Tenorite" w:cs="Tenorite" w:eastAsia="Tenorite" w:hAnsi="Tenorite"/>
          <w:color w:val="000000"/>
          <w:sz w:val="21"/>
          <w:szCs w:val="21"/>
        </w:rPr>
        <w:t xml:space="preserve"> (Enterprise Data Warehouse) — referenced as the source for identity/DOI (device-on-installment) eligibility validation in the target DXP flow.</w:t>
      </w:r>
    </w:p>
    <w:p>
      <w:pPr>
        <w:pStyle w:val="ListParagraph"/>
        <w:numPr>
          <w:ilvl w:val="0"/>
          <w:numId w:val="1"/>
        </w:numPr>
        <w:spacing w:after="80"/>
      </w:pPr>
      <w:r>
        <w:rPr>
          <w:rFonts w:ascii="Tenorite" w:cs="Tenorite" w:eastAsia="Tenorite" w:hAnsi="Tenorite"/>
          <w:b/>
          <w:bCs/>
          <w:color w:val="000000"/>
          <w:sz w:val="21"/>
          <w:szCs w:val="21"/>
        </w:rPr>
        <w:t xml:space="preserve">IMS + GTM file</w:t>
      </w:r>
      <w:r>
        <w:rPr>
          <w:rFonts w:ascii="Tenorite" w:cs="Tenorite" w:eastAsia="Tenorite" w:hAnsi="Tenorite"/>
          <w:color w:val="000000"/>
          <w:sz w:val="21"/>
          <w:szCs w:val="21"/>
        </w:rPr>
        <w:t xml:space="preserve"> — address/service-point (ZSB) matching draws top-level data from IMS via a GTM file, cross-checked against live KID/service status in UIM, with reverse sync back to IMS.</w:t>
      </w:r>
    </w:p>
    <w:p>
      <w:pPr>
        <w:pStyle w:val="ListParagraph"/>
        <w:numPr>
          <w:ilvl w:val="0"/>
          <w:numId w:val="1"/>
        </w:numPr>
        <w:spacing w:after="80"/>
      </w:pPr>
      <w:r>
        <w:rPr>
          <w:rFonts w:ascii="Tenorite" w:cs="Tenorite" w:eastAsia="Tenorite" w:hAnsi="Tenorite"/>
          <w:b/>
          <w:bCs/>
          <w:color w:val="000000"/>
          <w:sz w:val="21"/>
          <w:szCs w:val="21"/>
        </w:rPr>
        <w:t xml:space="preserve">Oracle Field Service (OFS)</w:t>
      </w:r>
      <w:r>
        <w:rPr>
          <w:rFonts w:ascii="Tenorite" w:cs="Tenorite" w:eastAsia="Tenorite" w:hAnsi="Tenorite"/>
          <w:color w:val="000000"/>
          <w:sz w:val="21"/>
          <w:szCs w:val="21"/>
        </w:rPr>
        <w:t xml:space="preserve"> — the technician-facing "My Route" app used for WFM installation activities, job cards, and route-progress tracking; explicitly noted (dashboard-analytics-framework.md, channel-architecture.md) as </w:t>
      </w:r>
      <w:r>
        <w:rPr>
          <w:rFonts w:ascii="Tenorite" w:cs="Tenorite" w:eastAsia="Tenorite" w:hAnsi="Tenorite"/>
          <w:b/>
          <w:bCs/>
          <w:color w:val="000000"/>
          <w:sz w:val="21"/>
          <w:szCs w:val="21"/>
        </w:rPr>
        <w:t xml:space="preserve">out of this corpus's front-end UI-evidence scope</w:t>
      </w:r>
      <w:r>
        <w:rPr>
          <w:rFonts w:ascii="Tenorite" w:cs="Tenorite" w:eastAsia="Tenorite" w:hAnsi="Tenorite"/>
          <w:color w:val="000000"/>
          <w:sz w:val="21"/>
          <w:szCs w:val="21"/>
        </w:rPr>
        <w:t xml:space="preserve"> — a separate technician channel, not a screen to rebuild in the agent DXP.</w:t>
      </w:r>
    </w:p>
    <w:p>
      <w:pPr>
        <w:pStyle w:val="ListParagraph"/>
        <w:numPr>
          <w:ilvl w:val="0"/>
          <w:numId w:val="1"/>
        </w:numPr>
        <w:spacing w:after="80"/>
      </w:pPr>
      <w:r>
        <w:rPr>
          <w:rFonts w:ascii="Tenorite" w:cs="Tenorite" w:eastAsia="Tenorite" w:hAnsi="Tenorite"/>
          <w:b/>
          <w:bCs/>
          <w:color w:val="000000"/>
          <w:sz w:val="21"/>
          <w:szCs w:val="21"/>
        </w:rPr>
        <w:t xml:space="preserve">Grafana</w:t>
      </w:r>
      <w:r>
        <w:rPr>
          <w:rFonts w:ascii="Tenorite" w:cs="Tenorite" w:eastAsia="Tenorite" w:hAnsi="Tenorite"/>
          <w:color w:val="000000"/>
          <w:sz w:val="21"/>
          <w:szCs w:val="21"/>
        </w:rPr>
        <w:t xml:space="preserve"> (embedded, SCR-012 RFS/Feasibility Portal) — an external iframe, not a native dashboard; requires a live backend and is out of scope for a front-end-only rebuild.</w:t>
      </w:r>
    </w:p>
    <w:p>
      <w:pPr>
        <w:spacing w:after="160" w:line="300"/>
      </w:pPr>
      <w:r>
        <w:rPr>
          <w:rFonts w:ascii="Tenorite" w:cs="Tenorite" w:eastAsia="Tenorite" w:hAnsi="Tenorite"/>
          <w:color w:val="000000"/>
          <w:sz w:val="21"/>
          <w:szCs w:val="21"/>
        </w:rPr>
        <w:t xml:space="preserve">RPA/GTM-style batch files and WFM/OFS are mentioned only as upstream/downstream data sources, not as detailed API contracts — the corpus documents </w:t>
      </w:r>
      <w:r>
        <w:rPr>
          <w:rFonts w:ascii="Tenorite" w:cs="Tenorite" w:eastAsia="Tenorite" w:hAnsi="Tenorite"/>
          <w:i/>
          <w:iCs/>
          <w:color w:val="000000"/>
          <w:sz w:val="21"/>
          <w:szCs w:val="21"/>
        </w:rPr>
        <w:t xml:space="preserve">what</w:t>
      </w:r>
      <w:r>
        <w:rPr>
          <w:rFonts w:ascii="Tenorite" w:cs="Tenorite" w:eastAsia="Tenorite" w:hAnsi="Tenorite"/>
          <w:color w:val="000000"/>
          <w:sz w:val="21"/>
          <w:szCs w:val="21"/>
        </w:rPr>
        <w:t xml:space="preserve"> crosses the integration boundary but not formal payload schemas.</w:t>
      </w:r>
    </w:p>
    <w:p>
      <w:pPr>
        <w:pStyle w:val="Heading2"/>
        <w:spacing w:after="120" w:before="260"/>
      </w:pPr>
      <w:r>
        <w:t xml:space="preserve">7. Exception &amp; Error Handling</w:t>
      </w:r>
    </w:p>
    <w:p>
      <w:pPr>
        <w:spacing w:after="160" w:line="300"/>
      </w:pPr>
      <w:r>
        <w:rPr>
          <w:rFonts w:ascii="Tenorite" w:cs="Tenorite" w:eastAsia="Tenorite" w:hAnsi="Tenorite"/>
          <w:color w:val="000000"/>
          <w:sz w:val="21"/>
          <w:szCs w:val="21"/>
        </w:rPr>
        <w:t xml:space="preserve">exception-catalogue.md organizes failures into four categories, drawing on validation-catalogue.md (418 entries), 130 of 945 workflow steps with an evidenced exception flow, and rbac-matrix.md's 40 evidenced restrictions:</w:t>
      </w:r>
    </w:p>
    <w:p>
      <w:pPr>
        <w:pStyle w:val="ListParagraph"/>
        <w:numPr>
          <w:ilvl w:val="0"/>
          <w:numId w:val="1"/>
        </w:numPr>
        <w:spacing w:after="80"/>
      </w:pPr>
      <w:r>
        <w:rPr>
          <w:rFonts w:ascii="Tenorite" w:cs="Tenorite" w:eastAsia="Tenorite" w:hAnsi="Tenorite"/>
          <w:b/>
          <w:bCs/>
          <w:color w:val="000000"/>
          <w:sz w:val="21"/>
          <w:szCs w:val="21"/>
        </w:rPr>
        <w:t xml:space="preserve">Validation failures</w:t>
      </w:r>
      <w:r>
        <w:rPr>
          <w:rFonts w:ascii="Tenorite" w:cs="Tenorite" w:eastAsia="Tenorite" w:hAnsi="Tenorite"/>
          <w:color w:val="000000"/>
          <w:sz w:val="21"/>
          <w:szCs w:val="21"/>
        </w:rPr>
        <w:t xml:space="preserve">: 11 concrete, screenshot-verified scenarios from a single FWA negative-scenarios walkthrough, e.g. </w:t>
      </w:r>
      <w:r>
        <w:rPr>
          <w:rFonts w:ascii="Tenorite" w:cs="Tenorite" w:eastAsia="Tenorite" w:hAnsi="Tenorite"/>
          <w:b/>
          <w:bCs/>
          <w:color w:val="000000"/>
          <w:sz w:val="21"/>
          <w:szCs w:val="21"/>
        </w:rPr>
        <w:t xml:space="preserve">EXC-001</w:t>
      </w:r>
      <w:r>
        <w:rPr>
          <w:rFonts w:ascii="Tenorite" w:cs="Tenorite" w:eastAsia="Tenorite" w:hAnsi="Tenorite"/>
          <w:color w:val="000000"/>
          <w:sz w:val="21"/>
          <w:szCs w:val="21"/>
        </w:rPr>
        <w:t xml:space="preserve"> (all required Address fields blank → modal listing missing fields), </w:t>
      </w:r>
      <w:r>
        <w:rPr>
          <w:rFonts w:ascii="Tenorite" w:cs="Tenorite" w:eastAsia="Tenorite" w:hAnsi="Tenorite"/>
          <w:b/>
          <w:bCs/>
          <w:color w:val="000000"/>
          <w:sz w:val="21"/>
          <w:szCs w:val="21"/>
        </w:rPr>
        <w:t xml:space="preserve">EXC-006</w:t>
      </w:r>
      <w:r>
        <w:rPr>
          <w:rFonts w:ascii="Tenorite" w:cs="Tenorite" w:eastAsia="Tenorite" w:hAnsi="Tenorite"/>
          <w:color w:val="000000"/>
          <w:sz w:val="21"/>
          <w:szCs w:val="21"/>
        </w:rPr>
        <w:t xml:space="preserve"> ("SIM Card does not exist in UIM(SBL-EXL-00151)" — no in-UI correction possible, agent must source a different SIM), </w:t>
      </w:r>
      <w:r>
        <w:rPr>
          <w:rFonts w:ascii="Tenorite" w:cs="Tenorite" w:eastAsia="Tenorite" w:hAnsi="Tenorite"/>
          <w:b/>
          <w:bCs/>
          <w:color w:val="000000"/>
          <w:sz w:val="21"/>
          <w:szCs w:val="21"/>
        </w:rPr>
        <w:t xml:space="preserve">EXC-010</w:t>
      </w:r>
      <w:r>
        <w:rPr>
          <w:rFonts w:ascii="Tenorite" w:cs="Tenorite" w:eastAsia="Tenorite" w:hAnsi="Tenorite"/>
          <w:color w:val="000000"/>
          <w:sz w:val="21"/>
          <w:szCs w:val="21"/>
        </w:rPr>
        <w:t xml:space="preserve"> (a raw, unhandled backend stack-trace-style exception surfaced verbatim to the end user — explicitly flagged as a legacy UX defect the new DXP should not reproduce), and </w:t>
      </w:r>
      <w:r>
        <w:rPr>
          <w:rFonts w:ascii="Tenorite" w:cs="Tenorite" w:eastAsia="Tenorite" w:hAnsi="Tenorite"/>
          <w:b/>
          <w:bCs/>
          <w:color w:val="000000"/>
          <w:sz w:val="21"/>
          <w:szCs w:val="21"/>
        </w:rPr>
        <w:t xml:space="preserve">EXC-007/008</w:t>
      </w:r>
      <w:r>
        <w:rPr>
          <w:rFonts w:ascii="Tenorite" w:cs="Tenorite" w:eastAsia="Tenorite" w:hAnsi="Tenorite"/>
          <w:color w:val="000000"/>
          <w:sz w:val="21"/>
          <w:szCs w:val="21"/>
        </w:rPr>
        <w:t xml:space="preserve"> (stale error banners from a prior field remaining visible under a new one — the legacy UI does not clear superseded messages).</w:t>
      </w:r>
    </w:p>
    <w:p>
      <w:pPr>
        <w:pStyle w:val="ListParagraph"/>
        <w:numPr>
          <w:ilvl w:val="0"/>
          <w:numId w:val="1"/>
        </w:numPr>
        <w:spacing w:after="80"/>
      </w:pPr>
      <w:r>
        <w:rPr>
          <w:rFonts w:ascii="Tenorite" w:cs="Tenorite" w:eastAsia="Tenorite" w:hAnsi="Tenorite"/>
          <w:b/>
          <w:bCs/>
          <w:color w:val="000000"/>
          <w:sz w:val="21"/>
          <w:szCs w:val="21"/>
        </w:rPr>
        <w:t xml:space="preserve">Permission failures</w:t>
      </w:r>
      <w:r>
        <w:rPr>
          <w:rFonts w:ascii="Tenorite" w:cs="Tenorite" w:eastAsia="Tenorite" w:hAnsi="Tenorite"/>
          <w:color w:val="000000"/>
          <w:sz w:val="21"/>
          <w:szCs w:val="21"/>
        </w:rPr>
        <w:t xml:space="preserve">: 40 of 145 RBAC entries evidence a specific restriction, e.g. cross-sell agents cannot re-enter/change a carried-over QID (RBAC-002); Retail agents can edit Bill/Smart Limit down to, but not below, the Agent Minimum without a System Administrator override (RBAC-012); Account Managers have no CRM access at all and are served via a phone channel instead (RBAC-021/022/023). The recommended UI treatment (Assumed) is to </w:t>
      </w:r>
      <w:r>
        <w:rPr>
          <w:rFonts w:ascii="Tenorite" w:cs="Tenorite" w:eastAsia="Tenorite" w:hAnsi="Tenorite"/>
          <w:b/>
          <w:bCs/>
          <w:color w:val="000000"/>
          <w:sz w:val="21"/>
          <w:szCs w:val="21"/>
        </w:rPr>
        <w:t xml:space="preserve">hide</w:t>
      </w:r>
      <w:r>
        <w:rPr>
          <w:rFonts w:ascii="Tenorite" w:cs="Tenorite" w:eastAsia="Tenorite" w:hAnsi="Tenorite"/>
          <w:color w:val="000000"/>
          <w:sz w:val="21"/>
          <w:szCs w:val="21"/>
        </w:rPr>
        <w:t xml:space="preserve">, not show-then-block, screens/actions with no RBAC entry for the active persona.</w:t>
      </w:r>
    </w:p>
    <w:p>
      <w:pPr>
        <w:pStyle w:val="ListParagraph"/>
        <w:numPr>
          <w:ilvl w:val="0"/>
          <w:numId w:val="1"/>
        </w:numPr>
        <w:spacing w:after="80"/>
      </w:pPr>
      <w:r>
        <w:rPr>
          <w:rFonts w:ascii="Tenorite" w:cs="Tenorite" w:eastAsia="Tenorite" w:hAnsi="Tenorite"/>
          <w:b/>
          <w:bCs/>
          <w:color w:val="000000"/>
          <w:sz w:val="21"/>
          <w:szCs w:val="21"/>
        </w:rPr>
        <w:t xml:space="preserve">Workflow failures</w:t>
      </w:r>
      <w:r>
        <w:rPr>
          <w:rFonts w:ascii="Tenorite" w:cs="Tenorite" w:eastAsia="Tenorite" w:hAnsi="Tenorite"/>
          <w:color w:val="000000"/>
          <w:sz w:val="21"/>
          <w:szCs w:val="21"/>
        </w:rPr>
        <w:t xml:space="preserve">: 130 of 945 steps carry an exception flow, concentrated in high-step-count journeys (e.g. New Postpaid B2B2C With Approval has 7; FWA Indoor B2B2C with Manager Approval has 4, including the SIM/UIM errors above and mandatory-attachment gating).</w:t>
      </w:r>
    </w:p>
    <w:p>
      <w:pPr>
        <w:pStyle w:val="ListParagraph"/>
        <w:numPr>
          <w:ilvl w:val="0"/>
          <w:numId w:val="1"/>
        </w:numPr>
        <w:spacing w:after="80"/>
      </w:pPr>
      <w:r>
        <w:rPr>
          <w:rFonts w:ascii="Tenorite" w:cs="Tenorite" w:eastAsia="Tenorite" w:hAnsi="Tenorite"/>
          <w:b/>
          <w:bCs/>
          <w:color w:val="000000"/>
          <w:sz w:val="21"/>
          <w:szCs w:val="21"/>
        </w:rPr>
        <w:t xml:space="preserve">Technical interruption scenarios</w:t>
      </w:r>
      <w:r>
        <w:rPr>
          <w:rFonts w:ascii="Tenorite" w:cs="Tenorite" w:eastAsia="Tenorite" w:hAnsi="Tenorite"/>
          <w:color w:val="000000"/>
          <w:sz w:val="21"/>
          <w:szCs w:val="21"/>
        </w:rPr>
        <w:t xml:space="preserve"> (unsaved changes, duplicate submission, browser refresh, interrupted workflows) are </w:t>
      </w:r>
      <w:r>
        <w:rPr>
          <w:rFonts w:ascii="Tenorite" w:cs="Tenorite" w:eastAsia="Tenorite" w:hAnsi="Tenorite"/>
          <w:b/>
          <w:bCs/>
          <w:color w:val="000000"/>
          <w:sz w:val="21"/>
          <w:szCs w:val="21"/>
        </w:rPr>
        <w:t xml:space="preserve">unevenly evidenced</w:t>
      </w:r>
      <w:r>
        <w:rPr>
          <w:rFonts w:ascii="Tenorite" w:cs="Tenorite" w:eastAsia="Tenorite" w:hAnsi="Tenorite"/>
          <w:color w:val="000000"/>
          <w:sz w:val="21"/>
          <w:szCs w:val="21"/>
        </w:rPr>
        <w:t xml:space="preserve">: interrupted-workflow </w:t>
      </w:r>
      <w:r>
        <w:rPr>
          <w:rFonts w:ascii="Tenorite" w:cs="Tenorite" w:eastAsia="Tenorite" w:hAnsi="Tenorite"/>
          <w:i/>
          <w:iCs/>
          <w:color w:val="000000"/>
          <w:sz w:val="21"/>
          <w:szCs w:val="21"/>
        </w:rPr>
        <w:t xml:space="preserve">resume</w:t>
      </w:r>
      <w:r>
        <w:rPr>
          <w:rFonts w:ascii="Tenorite" w:cs="Tenorite" w:eastAsia="Tenorite" w:hAnsi="Tenorite"/>
          <w:color w:val="000000"/>
          <w:sz w:val="21"/>
          <w:szCs w:val="21"/>
        </w:rPr>
        <w:t xml:space="preserve"> is Explicit (a documented draft/milestone-persistence capability), business-level duplicate-prevention rules are Explicit (e.g. no duplicate fiber-at-address, no duplicate Kahramaa-ID installation within 30 days), but </w:t>
      </w:r>
      <w:r>
        <w:rPr>
          <w:rFonts w:ascii="Tenorite" w:cs="Tenorite" w:eastAsia="Tenorite" w:hAnsi="Tenorite"/>
          <w:b/>
          <w:bCs/>
          <w:color w:val="000000"/>
          <w:sz w:val="21"/>
          <w:szCs w:val="21"/>
        </w:rPr>
        <w:t xml:space="preserve">UI double-submit protection, unsaved-changes warnings, and browser-refresh recovery are Assumed, standard SPA engineering defaults, not extracted requirements</w:t>
      </w:r>
      <w:r>
        <w:rPr>
          <w:rFonts w:ascii="Tenorite" w:cs="Tenorite" w:eastAsia="Tenorite" w:hAnsi="Tenorite"/>
          <w:color w:val="000000"/>
          <w:sz w:val="21"/>
          <w:szCs w:val="21"/>
        </w:rPr>
        <w:t xml:space="preserve"> — the catalogue is explicit that these should not be mistaken for discovered business requirements.</w:t>
      </w:r>
    </w:p>
    <w:p>
      <w:pPr>
        <w:pStyle w:val="Heading2"/>
        <w:spacing w:after="120" w:before="260"/>
      </w:pPr>
      <w:r>
        <w:t xml:space="preserve">8. Thinly Evidenced Areas (Documentation Gap — Flagged Honestly)</w:t>
      </w:r>
    </w:p>
    <w:p>
      <w:pPr>
        <w:spacing w:after="160" w:line="300"/>
      </w:pPr>
      <w:r>
        <w:rPr>
          <w:rFonts w:ascii="Tenorite" w:cs="Tenorite" w:eastAsia="Tenorite" w:hAnsi="Tenorite"/>
          <w:color w:val="000000"/>
          <w:sz w:val="21"/>
          <w:szCs w:val="21"/>
        </w:rPr>
        <w:t xml:space="preserve">Four of the ten catalogues reviewed are explicitly flagged in the source material as </w:t>
      </w:r>
      <w:r>
        <w:rPr>
          <w:rFonts w:ascii="Tenorite" w:cs="Tenorite" w:eastAsia="Tenorite" w:hAnsi="Tenorite"/>
          <w:b/>
          <w:bCs/>
          <w:color w:val="000000"/>
          <w:sz w:val="21"/>
          <w:szCs w:val="21"/>
        </w:rPr>
        <w:t xml:space="preserve">thinly evidenced</w:t>
      </w:r>
      <w:r>
        <w:rPr>
          <w:rFonts w:ascii="Tenorite" w:cs="Tenorite" w:eastAsia="Tenorite" w:hAnsi="Tenorite"/>
          <w:color w:val="000000"/>
          <w:sz w:val="21"/>
          <w:szCs w:val="21"/>
        </w:rPr>
        <w:t xml:space="preserve">, and are noted here as gaps rather than filled with speculation:</w:t>
      </w:r>
    </w:p>
    <w:p>
      <w:pPr>
        <w:pStyle w:val="ListParagraph"/>
        <w:numPr>
          <w:ilvl w:val="0"/>
          <w:numId w:val="1"/>
        </w:numPr>
        <w:spacing w:after="80"/>
      </w:pPr>
      <w:r>
        <w:rPr>
          <w:rFonts w:ascii="Tenorite" w:cs="Tenorite" w:eastAsia="Tenorite" w:hAnsi="Tenorite"/>
          <w:b/>
          <w:bCs/>
          <w:color w:val="000000"/>
          <w:sz w:val="21"/>
          <w:szCs w:val="21"/>
        </w:rPr>
        <w:t xml:space="preserve">search-filter-framework.md</w:t>
      </w:r>
      <w:r>
        <w:rPr>
          <w:rFonts w:ascii="Tenorite" w:cs="Tenorite" w:eastAsia="Tenorite" w:hAnsi="Tenorite"/>
          <w:color w:val="000000"/>
          <w:sz w:val="21"/>
          <w:szCs w:val="21"/>
        </w:rPr>
        <w:t xml:space="preserve">: 13 screens show search, 5 show filtering, but only </w:t>
      </w:r>
      <w:r>
        <w:rPr>
          <w:rFonts w:ascii="Tenorite" w:cs="Tenorite" w:eastAsia="Tenorite" w:hAnsi="Tenorite"/>
          <w:b/>
          <w:bCs/>
          <w:color w:val="000000"/>
          <w:sz w:val="21"/>
          <w:szCs w:val="21"/>
        </w:rPr>
        <w:t xml:space="preserve">1 screen</w:t>
      </w:r>
      <w:r>
        <w:rPr>
          <w:rFonts w:ascii="Tenorite" w:cs="Tenorite" w:eastAsia="Tenorite" w:hAnsi="Tenorite"/>
          <w:color w:val="000000"/>
          <w:sz w:val="21"/>
          <w:szCs w:val="21"/>
        </w:rPr>
        <w:t xml:space="preserve"> (SCR-001 Bulk Adjustment Portal) evidences a sort control. All evidenced search is scoped and entity-specific (search customers, numbers, technicians, plans); there is </w:t>
      </w:r>
      <w:r>
        <w:rPr>
          <w:rFonts w:ascii="Tenorite" w:cs="Tenorite" w:eastAsia="Tenorite" w:hAnsi="Tenorite"/>
          <w:b/>
          <w:bCs/>
          <w:color w:val="000000"/>
          <w:sz w:val="21"/>
          <w:szCs w:val="21"/>
        </w:rPr>
        <w:t xml:space="preserve">no evidenced unified/global search index</w:t>
      </w:r>
      <w:r>
        <w:rPr>
          <w:rFonts w:ascii="Tenorite" w:cs="Tenorite" w:eastAsia="Tenorite" w:hAnsi="Tenorite"/>
          <w:color w:val="000000"/>
          <w:sz w:val="21"/>
          <w:szCs w:val="21"/>
        </w:rPr>
        <w:t xml:space="preserve">, despite a screen named "Global Search" (SCR-195). Saved filters and advanced/boolean search are explicitly </w:t>
      </w:r>
      <w:r>
        <w:rPr>
          <w:rFonts w:ascii="Tenorite" w:cs="Tenorite" w:eastAsia="Tenorite" w:hAnsi="Tenorite"/>
          <w:b/>
          <w:bCs/>
          <w:color w:val="000000"/>
          <w:sz w:val="21"/>
          <w:szCs w:val="21"/>
        </w:rPr>
        <w:t xml:space="preserve">not evidenced</w:t>
      </w:r>
      <w:r>
        <w:rPr>
          <w:rFonts w:ascii="Tenorite" w:cs="Tenorite" w:eastAsia="Tenorite" w:hAnsi="Tenorite"/>
          <w:color w:val="000000"/>
          <w:sz w:val="21"/>
          <w:szCs w:val="21"/>
        </w:rPr>
        <w:t xml:space="preserve"> anywhere in the corpus.</w:t>
      </w:r>
    </w:p>
    <w:p>
      <w:pPr>
        <w:pStyle w:val="ListParagraph"/>
        <w:numPr>
          <w:ilvl w:val="0"/>
          <w:numId w:val="1"/>
        </w:numPr>
        <w:spacing w:after="80"/>
      </w:pPr>
      <w:r>
        <w:rPr>
          <w:rFonts w:ascii="Tenorite" w:cs="Tenorite" w:eastAsia="Tenorite" w:hAnsi="Tenorite"/>
          <w:b/>
          <w:bCs/>
          <w:color w:val="000000"/>
          <w:sz w:val="21"/>
          <w:szCs w:val="21"/>
        </w:rPr>
        <w:t xml:space="preserve">dashboard-analytics-framework.md</w:t>
      </w:r>
      <w:r>
        <w:rPr>
          <w:rFonts w:ascii="Tenorite" w:cs="Tenorite" w:eastAsia="Tenorite" w:hAnsi="Tenorite"/>
          <w:color w:val="000000"/>
          <w:sz w:val="21"/>
          <w:szCs w:val="21"/>
        </w:rPr>
        <w:t xml:space="preserve">: of 11 screens typed "Dashboard," only 5 are true analytics dashboards (Customer 360, Account 360, an Order-Activities queue view, a Bulk Jobs screen, and a "Tickets Dashboard" that is a title only, with no recoverable field-level content); the other 6 are tile-grid module launchers miscategorized as dashboards. </w:t>
      </w:r>
      <w:r>
        <w:rPr>
          <w:rFonts w:ascii="Tenorite" w:cs="Tenorite" w:eastAsia="Tenorite" w:hAnsi="Tenorite"/>
          <w:b/>
          <w:bCs/>
          <w:color w:val="000000"/>
          <w:sz w:val="21"/>
          <w:szCs w:val="21"/>
        </w:rPr>
        <w:t xml:space="preserve">No source document uses "KPI," "widget," or "metric" terminology anywhere</w:t>
      </w:r>
      <w:r>
        <w:rPr>
          <w:rFonts w:ascii="Tenorite" w:cs="Tenorite" w:eastAsia="Tenorite" w:hAnsi="Tenorite"/>
          <w:color w:val="000000"/>
          <w:sz w:val="21"/>
          <w:szCs w:val="21"/>
        </w:rPr>
        <w:t xml:space="preserve"> — a direct keyword search across all 213 evidenced screens returns zero hits.</w:t>
      </w:r>
    </w:p>
    <w:p>
      <w:pPr>
        <w:pStyle w:val="ListParagraph"/>
        <w:numPr>
          <w:ilvl w:val="0"/>
          <w:numId w:val="1"/>
        </w:numPr>
        <w:spacing w:after="80"/>
      </w:pPr>
      <w:r>
        <w:rPr>
          <w:rFonts w:ascii="Tenorite" w:cs="Tenorite" w:eastAsia="Tenorite" w:hAnsi="Tenorite"/>
          <w:b/>
          <w:bCs/>
          <w:color w:val="000000"/>
          <w:sz w:val="21"/>
          <w:szCs w:val="21"/>
        </w:rPr>
        <w:t xml:space="preserve">responsive-behaviour-catalogue.md</w:t>
      </w:r>
      <w:r>
        <w:rPr>
          <w:rFonts w:ascii="Tenorite" w:cs="Tenorite" w:eastAsia="Tenorite" w:hAnsi="Tenorite"/>
          <w:color w:val="000000"/>
          <w:sz w:val="21"/>
          <w:szCs w:val="21"/>
        </w:rPr>
        <w:t xml:space="preserve">: concrete Desktop-vs-Tablet behavioral divergence is evidenced in exactly </w:t>
      </w:r>
      <w:r>
        <w:rPr>
          <w:rFonts w:ascii="Tenorite" w:cs="Tenorite" w:eastAsia="Tenorite" w:hAnsi="Tenorite"/>
          <w:b/>
          <w:bCs/>
          <w:color w:val="000000"/>
          <w:sz w:val="21"/>
          <w:szCs w:val="21"/>
        </w:rPr>
        <w:t xml:space="preserve">two places</w:t>
      </w:r>
      <w:r>
        <w:rPr>
          <w:rFonts w:ascii="Tenorite" w:cs="Tenorite" w:eastAsia="Tenorite" w:hAnsi="Tenorite"/>
          <w:color w:val="000000"/>
          <w:sz w:val="21"/>
          <w:szCs w:val="21"/>
        </w:rPr>
        <w:t xml:space="preserve"> (SIM Swap approval's differing queue names/steps, and CAF signature capture's laptop/tablet view shift). </w:t>
      </w:r>
      <w:r>
        <w:rPr>
          <w:rFonts w:ascii="Tenorite" w:cs="Tenorite" w:eastAsia="Tenorite" w:hAnsi="Tenorite"/>
          <w:b/>
          <w:bCs/>
          <w:color w:val="000000"/>
          <w:sz w:val="21"/>
          <w:szCs w:val="21"/>
        </w:rPr>
        <w:t xml:space="preserve">No agent-facing mobile-phone form factor is evidenced anywhere</w:t>
      </w:r>
      <w:r>
        <w:rPr>
          <w:rFonts w:ascii="Tenorite" w:cs="Tenorite" w:eastAsia="Tenorite" w:hAnsi="Tenorite"/>
          <w:color w:val="000000"/>
          <w:sz w:val="21"/>
          <w:szCs w:val="21"/>
        </w:rPr>
        <w:t xml:space="preserve"> in the corpus — only customer-facing SMS deep-links and the separate MVA app.</w:t>
      </w:r>
    </w:p>
    <w:p>
      <w:pPr>
        <w:pStyle w:val="ListParagraph"/>
        <w:numPr>
          <w:ilvl w:val="0"/>
          <w:numId w:val="1"/>
        </w:numPr>
        <w:spacing w:after="80"/>
      </w:pPr>
      <w:r>
        <w:rPr>
          <w:rFonts w:ascii="Tenorite" w:cs="Tenorite" w:eastAsia="Tenorite" w:hAnsi="Tenorite"/>
          <w:b/>
          <w:bCs/>
          <w:color w:val="000000"/>
          <w:sz w:val="21"/>
          <w:szCs w:val="21"/>
        </w:rPr>
        <w:t xml:space="preserve">feature-toggle-catalogue.md</w:t>
      </w:r>
      <w:r>
        <w:rPr>
          <w:rFonts w:ascii="Tenorite" w:cs="Tenorite" w:eastAsia="Tenorite" w:hAnsi="Tenorite"/>
          <w:color w:val="000000"/>
          <w:sz w:val="21"/>
          <w:szCs w:val="21"/>
        </w:rPr>
        <w:t xml:space="preserve">: explicitly "the thinnest-evidenced deliverable in the blueprint" — no source document discusses feature flags, toggles, or A/B rollout mechanics. The nearest analogs are Current-State/Target-State capability pairs and a BRSD's Change Category classification (all 13 of its capabilities marked "New"), both about phased </w:t>
      </w:r>
      <w:r>
        <w:rPr>
          <w:rFonts w:ascii="Tenorite" w:cs="Tenorite" w:eastAsia="Tenorite" w:hAnsi="Tenorite"/>
          <w:i/>
          <w:iCs/>
          <w:color w:val="000000"/>
          <w:sz w:val="21"/>
          <w:szCs w:val="21"/>
        </w:rPr>
        <w:t xml:space="preserve">delivery</w:t>
      </w:r>
      <w:r>
        <w:rPr>
          <w:rFonts w:ascii="Tenorite" w:cs="Tenorite" w:eastAsia="Tenorite" w:hAnsi="Tenorite"/>
          <w:color w:val="000000"/>
          <w:sz w:val="21"/>
          <w:szCs w:val="21"/>
        </w:rPr>
        <w:t xml:space="preserve"> sequencing, not runtime toggling. A full feature-flag system is stated as </w:t>
      </w:r>
      <w:r>
        <w:rPr>
          <w:rFonts w:ascii="Tenorite" w:cs="Tenorite" w:eastAsia="Tenorite" w:hAnsi="Tenorite"/>
          <w:b/>
          <w:bCs/>
          <w:color w:val="000000"/>
          <w:sz w:val="21"/>
          <w:szCs w:val="21"/>
        </w:rPr>
        <w:t xml:space="preserve">not justified</w:t>
      </w:r>
      <w:r>
        <w:rPr>
          <w:rFonts w:ascii="Tenorite" w:cs="Tenorite" w:eastAsia="Tenorite" w:hAnsi="Tenorite"/>
          <w:color w:val="000000"/>
          <w:sz w:val="21"/>
          <w:szCs w:val="21"/>
        </w:rPr>
        <w:t xml:space="preserve"> by the evidence.</w:t>
      </w:r>
    </w:p>
    <w:p>
      <w:r>
        <w:br w:type="page"/>
      </w:r>
    </w:p>
    <w:p>
      <w:pPr>
        <w:pStyle w:val="Heading1"/>
        <w:spacing w:after="160" w:before="320"/>
      </w:pPr>
      <w:r>
        <w:t xml:space="preserve">Features &amp; Functionalities</w:t>
      </w:r>
    </w:p>
    <w:p>
      <w:pPr>
        <w:spacing w:after="160" w:line="300"/>
      </w:pPr>
      <w:r>
        <w:rPr>
          <w:rFonts w:ascii="Tenorite" w:cs="Tenorite" w:eastAsia="Tenorite" w:hAnsi="Tenorite"/>
          <w:color w:val="000000"/>
          <w:sz w:val="21"/>
          <w:szCs w:val="21"/>
        </w:rPr>
        <w:t xml:space="preserve">This section describes what the new DXP/Open-UI platform actually does, structured the way it was reconstructed: a four-level hierarchy (Platform → Module → Sub-Module → Feature → Capability), a 213-screen inventory, a channel/persona taxonomy, a UI component catalogue, and evidenced screen-behaviour patterns. All figures below are pulled directly from the reconstruction's blueprint documents; every claim is cited to its source file.</w:t>
      </w:r>
    </w:p>
    <w:p>
      <w:pPr>
        <w:pStyle w:val="Heading2"/>
        <w:spacing w:after="120" w:before="260"/>
      </w:pPr>
      <w:r>
        <w:t xml:space="preserve">1. Module Hierarchy Overview</w:t>
      </w:r>
    </w:p>
    <w:p>
      <w:pPr>
        <w:spacing w:after="160" w:line="300"/>
      </w:pPr>
      <w:r>
        <w:rPr>
          <w:rFonts w:ascii="Tenorite" w:cs="Tenorite" w:eastAsia="Tenorite" w:hAnsi="Tenorite"/>
          <w:color w:val="000000"/>
          <w:sz w:val="21"/>
          <w:szCs w:val="21"/>
        </w:rPr>
        <w:t xml:space="preserve">The platform's functionality is organized into </w:t>
      </w:r>
      <w:r>
        <w:rPr>
          <w:rFonts w:ascii="Tenorite" w:cs="Tenorite" w:eastAsia="Tenorite" w:hAnsi="Tenorite"/>
          <w:b/>
          <w:bCs/>
          <w:color w:val="000000"/>
          <w:sz w:val="21"/>
          <w:szCs w:val="21"/>
        </w:rPr>
        <w:t xml:space="preserve">16 top-level modules</w:t>
      </w:r>
      <w:r>
        <w:rPr>
          <w:rFonts w:ascii="Tenorite" w:cs="Tenorite" w:eastAsia="Tenorite" w:hAnsi="Tenorite"/>
          <w:color w:val="000000"/>
          <w:sz w:val="21"/>
          <w:szCs w:val="21"/>
        </w:rPr>
        <w:t xml:space="preserve"> (module-hierarchy.md), derived from the synthesized entity, journey, and requirement catalogues built from the 83-document workshop/BRSD corpus:</w:t>
      </w:r>
    </w:p>
    <w:p>
      <w:pPr>
        <w:pStyle w:val="ListParagraph"/>
        <w:numPr>
          <w:ilvl w:val="0"/>
          <w:numId w:val="2"/>
        </w:numPr>
        <w:spacing w:after="80"/>
      </w:pPr>
      <w:r>
        <w:rPr>
          <w:rFonts w:ascii="Tenorite" w:cs="Tenorite" w:eastAsia="Tenorite" w:hAnsi="Tenorite"/>
          <w:b/>
          <w:bCs/>
          <w:color w:val="000000"/>
          <w:sz w:val="21"/>
          <w:szCs w:val="21"/>
        </w:rPr>
        <w:t xml:space="preserve">Lead Management</w:t>
      </w:r>
      <w:r>
        <w:rPr>
          <w:rFonts w:ascii="Tenorite" w:cs="Tenorite" w:eastAsia="Tenorite" w:hAnsi="Tenorite"/>
          <w:color w:val="000000"/>
          <w:sz w:val="21"/>
          <w:szCs w:val="21"/>
        </w:rPr>
        <w:t xml:space="preserve"> — capturing, qualifying, and routing sales leads (fixed, mobile, enterprise), plus cross-sales offer conversion for existing customers.</w:t>
      </w:r>
    </w:p>
    <w:p>
      <w:pPr>
        <w:pStyle w:val="ListParagraph"/>
        <w:numPr>
          <w:ilvl w:val="0"/>
          <w:numId w:val="2"/>
        </w:numPr>
        <w:spacing w:after="80"/>
      </w:pPr>
      <w:r>
        <w:rPr>
          <w:rFonts w:ascii="Tenorite" w:cs="Tenorite" w:eastAsia="Tenorite" w:hAnsi="Tenorite"/>
          <w:b/>
          <w:bCs/>
          <w:color w:val="000000"/>
          <w:sz w:val="21"/>
          <w:szCs w:val="21"/>
        </w:rPr>
        <w:t xml:space="preserve">Mobile Postpaid</w:t>
      </w:r>
      <w:r>
        <w:rPr>
          <w:rFonts w:ascii="Tenorite" w:cs="Tenorite" w:eastAsia="Tenorite" w:hAnsi="Tenorite"/>
          <w:color w:val="000000"/>
          <w:sz w:val="21"/>
          <w:szCs w:val="21"/>
        </w:rPr>
        <w:t xml:space="preserve"> — new postpaid activation, bill/credit limit configuration, plan changes, suspension/resume, and device-installment (DOI) orders.</w:t>
      </w:r>
    </w:p>
    <w:p>
      <w:pPr>
        <w:pStyle w:val="ListParagraph"/>
        <w:numPr>
          <w:ilvl w:val="0"/>
          <w:numId w:val="2"/>
        </w:numPr>
        <w:spacing w:after="80"/>
      </w:pPr>
      <w:r>
        <w:rPr>
          <w:rFonts w:ascii="Tenorite" w:cs="Tenorite" w:eastAsia="Tenorite" w:hAnsi="Tenorite"/>
          <w:b/>
          <w:bCs/>
          <w:color w:val="000000"/>
          <w:sz w:val="21"/>
          <w:szCs w:val="21"/>
        </w:rPr>
        <w:t xml:space="preserve">Mobile Prepaid</w:t>
      </w:r>
      <w:r>
        <w:rPr>
          <w:rFonts w:ascii="Tenorite" w:cs="Tenorite" w:eastAsia="Tenorite" w:hAnsi="Tenorite"/>
          <w:color w:val="000000"/>
          <w:sz w:val="21"/>
          <w:szCs w:val="21"/>
        </w:rPr>
        <w:t xml:space="preserve"> — new prepaid connection creation across retail, direct sales, and multi-channel activation.</w:t>
      </w:r>
    </w:p>
    <w:p>
      <w:pPr>
        <w:pStyle w:val="ListParagraph"/>
        <w:numPr>
          <w:ilvl w:val="0"/>
          <w:numId w:val="2"/>
        </w:numPr>
        <w:spacing w:after="80"/>
      </w:pPr>
      <w:r>
        <w:rPr>
          <w:rFonts w:ascii="Tenorite" w:cs="Tenorite" w:eastAsia="Tenorite" w:hAnsi="Tenorite"/>
          <w:b/>
          <w:bCs/>
          <w:color w:val="000000"/>
          <w:sz w:val="21"/>
          <w:szCs w:val="21"/>
        </w:rPr>
        <w:t xml:space="preserve">Pre-to-Post Migration</w:t>
      </w:r>
      <w:r>
        <w:rPr>
          <w:rFonts w:ascii="Tenorite" w:cs="Tenorite" w:eastAsia="Tenorite" w:hAnsi="Tenorite"/>
          <w:color w:val="000000"/>
          <w:sz w:val="21"/>
          <w:szCs w:val="21"/>
        </w:rPr>
        <w:t xml:space="preserve"> — converting customers between prepaid and postpaid, including automated "Autobase" campaign-driven migration offers.</w:t>
      </w:r>
    </w:p>
    <w:p>
      <w:pPr>
        <w:pStyle w:val="ListParagraph"/>
        <w:numPr>
          <w:ilvl w:val="0"/>
          <w:numId w:val="2"/>
        </w:numPr>
        <w:spacing w:after="80"/>
      </w:pPr>
      <w:r>
        <w:rPr>
          <w:rFonts w:ascii="Tenorite" w:cs="Tenorite" w:eastAsia="Tenorite" w:hAnsi="Tenorite"/>
          <w:b/>
          <w:bCs/>
          <w:color w:val="000000"/>
          <w:sz w:val="21"/>
          <w:szCs w:val="21"/>
        </w:rPr>
        <w:t xml:space="preserve">MNP / FNP Porting</w:t>
      </w:r>
      <w:r>
        <w:rPr>
          <w:rFonts w:ascii="Tenorite" w:cs="Tenorite" w:eastAsia="Tenorite" w:hAnsi="Tenorite"/>
          <w:color w:val="000000"/>
          <w:sz w:val="21"/>
          <w:szCs w:val="21"/>
        </w:rPr>
        <w:t xml:space="preserve"> — mobile and fixed number portability: port-in, port-out, and post-port billing/dunning handling.</w:t>
      </w:r>
    </w:p>
    <w:p>
      <w:pPr>
        <w:pStyle w:val="ListParagraph"/>
        <w:numPr>
          <w:ilvl w:val="0"/>
          <w:numId w:val="2"/>
        </w:numPr>
        <w:spacing w:after="80"/>
      </w:pPr>
      <w:r>
        <w:rPr>
          <w:rFonts w:ascii="Tenorite" w:cs="Tenorite" w:eastAsia="Tenorite" w:hAnsi="Tenorite"/>
          <w:b/>
          <w:bCs/>
          <w:color w:val="000000"/>
          <w:sz w:val="21"/>
          <w:szCs w:val="21"/>
        </w:rPr>
        <w:t xml:space="preserve">Fixed Line / Fibre</w:t>
      </w:r>
      <w:r>
        <w:rPr>
          <w:rFonts w:ascii="Tenorite" w:cs="Tenorite" w:eastAsia="Tenorite" w:hAnsi="Tenorite"/>
          <w:color w:val="000000"/>
          <w:sz w:val="21"/>
          <w:szCs w:val="21"/>
        </w:rPr>
        <w:t xml:space="preserve"> — the platform's largest module: new fixed-line/fibre activation, digital self-service fiber, migration/termination, exception handling, address/feasibility checks, GigaHome/OSNtv subscriptions, home moves, and supplementary forms.</w:t>
      </w:r>
    </w:p>
    <w:p>
      <w:pPr>
        <w:pStyle w:val="ListParagraph"/>
        <w:numPr>
          <w:ilvl w:val="0"/>
          <w:numId w:val="2"/>
        </w:numPr>
        <w:spacing w:after="80"/>
      </w:pPr>
      <w:r>
        <w:rPr>
          <w:rFonts w:ascii="Tenorite" w:cs="Tenorite" w:eastAsia="Tenorite" w:hAnsi="Tenorite"/>
          <w:b/>
          <w:bCs/>
          <w:color w:val="000000"/>
          <w:sz w:val="21"/>
          <w:szCs w:val="21"/>
        </w:rPr>
        <w:t xml:space="preserve">FWA / 5G Home</w:t>
      </w:r>
      <w:r>
        <w:rPr>
          <w:rFonts w:ascii="Tenorite" w:cs="Tenorite" w:eastAsia="Tenorite" w:hAnsi="Tenorite"/>
          <w:color w:val="000000"/>
          <w:sz w:val="21"/>
          <w:szCs w:val="21"/>
        </w:rPr>
        <w:t xml:space="preserve"> — fixed-wireless-access (5G Home) activation on desktop and tablet, CPE configuration, and field-fulfilment/CAF handling.</w:t>
      </w:r>
    </w:p>
    <w:p>
      <w:pPr>
        <w:pStyle w:val="ListParagraph"/>
        <w:numPr>
          <w:ilvl w:val="0"/>
          <w:numId w:val="2"/>
        </w:numPr>
        <w:spacing w:after="80"/>
      </w:pPr>
      <w:r>
        <w:rPr>
          <w:rFonts w:ascii="Tenorite" w:cs="Tenorite" w:eastAsia="Tenorite" w:hAnsi="Tenorite"/>
          <w:b/>
          <w:bCs/>
          <w:color w:val="000000"/>
          <w:sz w:val="21"/>
          <w:szCs w:val="21"/>
        </w:rPr>
        <w:t xml:space="preserve">Enterprise / IoT / B2B</w:t>
      </w:r>
      <w:r>
        <w:rPr>
          <w:rFonts w:ascii="Tenorite" w:cs="Tenorite" w:eastAsia="Tenorite" w:hAnsi="Tenorite"/>
          <w:color w:val="000000"/>
          <w:sz w:val="21"/>
          <w:szCs w:val="21"/>
        </w:rPr>
        <w:t xml:space="preserve"> — enterprise account management, order-to-billing flow, bulk operations (bulk activation/adjustment/SMS/DAPN), invoicing/export, and B2B2C employer association.</w:t>
      </w:r>
    </w:p>
    <w:p>
      <w:pPr>
        <w:pStyle w:val="ListParagraph"/>
        <w:numPr>
          <w:ilvl w:val="0"/>
          <w:numId w:val="2"/>
        </w:numPr>
        <w:spacing w:after="80"/>
      </w:pPr>
      <w:r>
        <w:rPr>
          <w:rFonts w:ascii="Tenorite" w:cs="Tenorite" w:eastAsia="Tenorite" w:hAnsi="Tenorite"/>
          <w:b/>
          <w:bCs/>
          <w:color w:val="000000"/>
          <w:sz w:val="21"/>
          <w:szCs w:val="21"/>
        </w:rPr>
        <w:t xml:space="preserve">Billing &amp; Adjustments</w:t>
      </w:r>
      <w:r>
        <w:rPr>
          <w:rFonts w:ascii="Tenorite" w:cs="Tenorite" w:eastAsia="Tenorite" w:hAnsi="Tenorite"/>
          <w:color w:val="000000"/>
          <w:sz w:val="21"/>
          <w:szCs w:val="21"/>
        </w:rPr>
        <w:t xml:space="preserve"> — billing profile configuration, bill/SOA viewing and simulation, penalty/commitment/discount calculation, and deposit/credit management.</w:t>
      </w:r>
    </w:p>
    <w:p>
      <w:pPr>
        <w:pStyle w:val="ListParagraph"/>
        <w:numPr>
          <w:ilvl w:val="0"/>
          <w:numId w:val="2"/>
        </w:numPr>
        <w:spacing w:after="80"/>
      </w:pPr>
      <w:r>
        <w:rPr>
          <w:rFonts w:ascii="Tenorite" w:cs="Tenorite" w:eastAsia="Tenorite" w:hAnsi="Tenorite"/>
          <w:b/>
          <w:bCs/>
          <w:color w:val="000000"/>
          <w:sz w:val="21"/>
          <w:szCs w:val="21"/>
        </w:rPr>
        <w:t xml:space="preserve">Order Management</w:t>
      </w:r>
      <w:r>
        <w:rPr>
          <w:rFonts w:ascii="Tenorite" w:cs="Tenorite" w:eastAsia="Tenorite" w:hAnsi="Tenorite"/>
          <w:color w:val="000000"/>
          <w:sz w:val="21"/>
          <w:szCs w:val="21"/>
        </w:rPr>
        <w:t xml:space="preserve"> — order approval workflow, order lifecycle/status tracking, and future-dated orders (FDO).</w:t>
      </w:r>
    </w:p>
    <w:p>
      <w:pPr>
        <w:pStyle w:val="ListParagraph"/>
        <w:numPr>
          <w:ilvl w:val="0"/>
          <w:numId w:val="2"/>
        </w:numPr>
        <w:spacing w:after="80"/>
      </w:pPr>
      <w:r>
        <w:rPr>
          <w:rFonts w:ascii="Tenorite" w:cs="Tenorite" w:eastAsia="Tenorite" w:hAnsi="Tenorite"/>
          <w:b/>
          <w:bCs/>
          <w:color w:val="000000"/>
          <w:sz w:val="21"/>
          <w:szCs w:val="21"/>
        </w:rPr>
        <w:t xml:space="preserve">Identity &amp; Customer Management</w:t>
      </w:r>
      <w:r>
        <w:rPr>
          <w:rFonts w:ascii="Tenorite" w:cs="Tenorite" w:eastAsia="Tenorite" w:hAnsi="Tenorite"/>
          <w:color w:val="000000"/>
          <w:sz w:val="21"/>
          <w:szCs w:val="21"/>
        </w:rPr>
        <w:t xml:space="preserve"> — ID document validation (MOI integration), passport-to-QID conversion, Customer 360 aggregated view, and consent/communication preferences.</w:t>
      </w:r>
    </w:p>
    <w:p>
      <w:pPr>
        <w:pStyle w:val="ListParagraph"/>
        <w:numPr>
          <w:ilvl w:val="0"/>
          <w:numId w:val="2"/>
        </w:numPr>
        <w:spacing w:after="80"/>
      </w:pPr>
      <w:r>
        <w:rPr>
          <w:rFonts w:ascii="Tenorite" w:cs="Tenorite" w:eastAsia="Tenorite" w:hAnsi="Tenorite"/>
          <w:b/>
          <w:bCs/>
          <w:color w:val="000000"/>
          <w:sz w:val="21"/>
          <w:szCs w:val="21"/>
        </w:rPr>
        <w:t xml:space="preserve">SIM &amp; Number Management</w:t>
      </w:r>
      <w:r>
        <w:rPr>
          <w:rFonts w:ascii="Tenorite" w:cs="Tenorite" w:eastAsia="Tenorite" w:hAnsi="Tenorite"/>
          <w:color w:val="000000"/>
          <w:sz w:val="21"/>
          <w:szCs w:val="21"/>
        </w:rPr>
        <w:t xml:space="preserve"> — SIM swap, MSISDN/number selection and reservation, manual (voluntary) suspension, and transfer-of-ownership/number (TON) case processing.</w:t>
      </w:r>
    </w:p>
    <w:p>
      <w:pPr>
        <w:pStyle w:val="ListParagraph"/>
        <w:numPr>
          <w:ilvl w:val="0"/>
          <w:numId w:val="2"/>
        </w:numPr>
        <w:spacing w:after="80"/>
      </w:pPr>
      <w:r>
        <w:rPr>
          <w:rFonts w:ascii="Tenorite" w:cs="Tenorite" w:eastAsia="Tenorite" w:hAnsi="Tenorite"/>
          <w:b/>
          <w:bCs/>
          <w:color w:val="000000"/>
          <w:sz w:val="21"/>
          <w:szCs w:val="21"/>
        </w:rPr>
        <w:t xml:space="preserve">Trouble Ticketing &amp; Complaints</w:t>
      </w:r>
      <w:r>
        <w:rPr>
          <w:rFonts w:ascii="Tenorite" w:cs="Tenorite" w:eastAsia="Tenorite" w:hAnsi="Tenorite"/>
          <w:color w:val="000000"/>
          <w:sz w:val="21"/>
          <w:szCs w:val="21"/>
        </w:rPr>
        <w:t xml:space="preserve"> — general ticket lifecycle, disconnection tickets, data-session termination, and MVA (offshore/third-party) request routing.</w:t>
      </w:r>
    </w:p>
    <w:p>
      <w:pPr>
        <w:pStyle w:val="ListParagraph"/>
        <w:numPr>
          <w:ilvl w:val="0"/>
          <w:numId w:val="2"/>
        </w:numPr>
        <w:spacing w:after="80"/>
      </w:pPr>
      <w:r>
        <w:rPr>
          <w:rFonts w:ascii="Tenorite" w:cs="Tenorite" w:eastAsia="Tenorite" w:hAnsi="Tenorite"/>
          <w:b/>
          <w:bCs/>
          <w:color w:val="000000"/>
          <w:sz w:val="21"/>
          <w:szCs w:val="21"/>
        </w:rPr>
        <w:t xml:space="preserve">Access, Roles &amp; Approval Governance</w:t>
      </w:r>
      <w:r>
        <w:rPr>
          <w:rFonts w:ascii="Tenorite" w:cs="Tenorite" w:eastAsia="Tenorite" w:hAnsi="Tenorite"/>
          <w:color w:val="000000"/>
          <w:sz w:val="21"/>
          <w:szCs w:val="21"/>
        </w:rPr>
        <w:t xml:space="preserve"> — role/team-based access control replacing Siebel profile-based access, journey initiation authorization, and payment/billing access restrictions.</w:t>
      </w:r>
    </w:p>
    <w:p>
      <w:pPr>
        <w:pStyle w:val="ListParagraph"/>
        <w:numPr>
          <w:ilvl w:val="0"/>
          <w:numId w:val="2"/>
        </w:numPr>
        <w:spacing w:after="80"/>
      </w:pPr>
      <w:r>
        <w:rPr>
          <w:rFonts w:ascii="Tenorite" w:cs="Tenorite" w:eastAsia="Tenorite" w:hAnsi="Tenorite"/>
          <w:b/>
          <w:bCs/>
          <w:color w:val="000000"/>
          <w:sz w:val="21"/>
          <w:szCs w:val="21"/>
        </w:rPr>
        <w:t xml:space="preserve">CAF, Attachments &amp; Forms</w:t>
      </w:r>
      <w:r>
        <w:rPr>
          <w:rFonts w:ascii="Tenorite" w:cs="Tenorite" w:eastAsia="Tenorite" w:hAnsi="Tenorite"/>
          <w:color w:val="000000"/>
          <w:sz w:val="21"/>
          <w:szCs w:val="21"/>
        </w:rPr>
        <w:t xml:space="preserve"> — Customer Application Form (CAF) lifecycle, e-signature, attachment management, and activity/wrap-up recording.</w:t>
      </w:r>
    </w:p>
    <w:p>
      <w:pPr>
        <w:pStyle w:val="ListParagraph"/>
        <w:numPr>
          <w:ilvl w:val="0"/>
          <w:numId w:val="2"/>
        </w:numPr>
        <w:spacing w:after="80"/>
      </w:pPr>
      <w:r>
        <w:rPr>
          <w:rFonts w:ascii="Tenorite" w:cs="Tenorite" w:eastAsia="Tenorite" w:hAnsi="Tenorite"/>
          <w:b/>
          <w:bCs/>
          <w:color w:val="000000"/>
          <w:sz w:val="21"/>
          <w:szCs w:val="21"/>
        </w:rPr>
        <w:t xml:space="preserve">Platform Governance &amp; Architecture</w:t>
      </w:r>
      <w:r>
        <w:rPr>
          <w:rFonts w:ascii="Tenorite" w:cs="Tenorite" w:eastAsia="Tenorite" w:hAnsi="Tenorite"/>
          <w:color w:val="000000"/>
          <w:sz w:val="21"/>
          <w:szCs w:val="21"/>
        </w:rPr>
        <w:t xml:space="preserve"> — delivery/traceability governance (the journey catalog itself) and the platform's core design principles (business-driven design, ECR decommissioning, Siebel as system of record, configuration-over-hard-coding).</w:t>
      </w:r>
    </w:p>
    <w:p>
      <w:pPr>
        <w:spacing w:after="160" w:line="300"/>
      </w:pPr>
      <w:r>
        <w:rPr>
          <w:rFonts w:ascii="Tenorite" w:cs="Tenorite" w:eastAsia="Tenorite" w:hAnsi="Tenorite"/>
          <w:color w:val="000000"/>
          <w:sz w:val="21"/>
          <w:szCs w:val="21"/>
        </w:rPr>
        <w:t xml:space="preserve">(module-hierarchy.md)</w:t>
      </w:r>
    </w:p>
    <w:p>
      <w:pPr>
        <w:pStyle w:val="Heading2"/>
        <w:spacing w:after="120" w:before="260"/>
      </w:pPr>
      <w:r>
        <w:t xml:space="preserve">2. Screen Inventory</w:t>
      </w:r>
    </w:p>
    <w:p>
      <w:pPr>
        <w:spacing w:after="160" w:line="300"/>
      </w:pPr>
      <w:r>
        <w:rPr>
          <w:rFonts w:ascii="Tenorite" w:cs="Tenorite" w:eastAsia="Tenorite" w:hAnsi="Tenorite"/>
          <w:color w:val="000000"/>
          <w:sz w:val="21"/>
          <w:szCs w:val="21"/>
        </w:rPr>
        <w:t xml:space="preserve">The reconstructed sitemap catalogues </w:t>
      </w:r>
      <w:r>
        <w:rPr>
          <w:rFonts w:ascii="Tenorite" w:cs="Tenorite" w:eastAsia="Tenorite" w:hAnsi="Tenorite"/>
          <w:b/>
          <w:bCs/>
          <w:color w:val="000000"/>
          <w:sz w:val="21"/>
          <w:szCs w:val="21"/>
        </w:rPr>
        <w:t xml:space="preserve">213 screens across all 16 modules</w:t>
      </w:r>
      <w:r>
        <w:rPr>
          <w:rFonts w:ascii="Tenorite" w:cs="Tenorite" w:eastAsia="Tenorite" w:hAnsi="Tenorite"/>
          <w:color w:val="000000"/>
          <w:sz w:val="21"/>
          <w:szCs w:val="21"/>
        </w:rPr>
        <w:t xml:space="preserve">, each with a unique screen ID, a type (Screen/Wizard/Modal/Page/Dashboard/Popup), and a route (platform-sitemap.md). By type: 93 plain Screens, 58 Wizards, 32 Modals, 13 Pages, 11 Dashboards, and 6 Popups (screens.md).</w:t>
      </w:r>
    </w:p>
    <w:p>
      <w:pPr>
        <w:spacing w:after="160" w:line="300"/>
      </w:pPr>
      <w:r>
        <w:rPr>
          <w:rFonts w:ascii="Tenorite" w:cs="Tenorite" w:eastAsia="Tenorite" w:hAnsi="Tenorite"/>
          <w:color w:val="000000"/>
          <w:sz w:val="21"/>
          <w:szCs w:val="21"/>
        </w:rPr>
        <w:t xml:space="preserve">Screen count is distributed unevenly — a handful of modules carry most of the surface area: Fixed Line / Fibre (49), FWA / 5G Home (44), Mobile Postpaid (22), MNP / FNP Porting (17), Lead Management (15), Pre-to-Post Migration (15), Order Management (15) (platform-sitemap.md).</w:t>
      </w:r>
    </w:p>
    <w:p>
      <w:pPr>
        <w:spacing w:after="160" w:line="300"/>
      </w:pPr>
      <w:r>
        <w:rPr>
          <w:rFonts w:ascii="Tenorite" w:cs="Tenorite" w:eastAsia="Tenorite" w:hAnsi="Tenorite"/>
          <w:color w:val="000000"/>
          <w:sz w:val="21"/>
          <w:szCs w:val="21"/>
        </w:rPr>
        <w:t xml:space="preserve">Example screens from the largest modules:</w:t>
      </w:r>
    </w:p>
    <w:p>
      <w:pPr>
        <w:pStyle w:val="ListParagraph"/>
        <w:numPr>
          <w:ilvl w:val="0"/>
          <w:numId w:val="1"/>
        </w:numPr>
        <w:spacing w:after="80"/>
      </w:pPr>
      <w:r>
        <w:rPr>
          <w:rFonts w:ascii="Tenorite" w:cs="Tenorite" w:eastAsia="Tenorite" w:hAnsi="Tenorite"/>
          <w:b/>
          <w:bCs/>
          <w:color w:val="000000"/>
          <w:sz w:val="21"/>
          <w:szCs w:val="21"/>
        </w:rPr>
        <w:t xml:space="preserve">Fixed Line / Fibre</w:t>
      </w:r>
      <w:r>
        <w:rPr>
          <w:rFonts w:ascii="Tenorite" w:cs="Tenorite" w:eastAsia="Tenorite" w:hAnsi="Tenorite"/>
          <w:color w:val="000000"/>
          <w:sz w:val="21"/>
          <w:szCs w:val="21"/>
        </w:rPr>
        <w:t xml:space="preserve">: New Fixed Line wizard — Contact/Address/Plan/Number Selection/CAF steps (SCR-043, SCR-045, SCR-046, SCR-048, SCR-050); CRM Open UI Desktop Home Page (SCR-040); Address/Service Point Search — KID lookup (SCR-034).</w:t>
      </w:r>
    </w:p>
    <w:p>
      <w:pPr>
        <w:pStyle w:val="ListParagraph"/>
        <w:numPr>
          <w:ilvl w:val="0"/>
          <w:numId w:val="1"/>
        </w:numPr>
        <w:spacing w:after="80"/>
      </w:pPr>
      <w:r>
        <w:rPr>
          <w:rFonts w:ascii="Tenorite" w:cs="Tenorite" w:eastAsia="Tenorite" w:hAnsi="Tenorite"/>
          <w:b/>
          <w:bCs/>
          <w:color w:val="000000"/>
          <w:sz w:val="21"/>
          <w:szCs w:val="21"/>
        </w:rPr>
        <w:t xml:space="preserve">FWA / 5G Home</w:t>
      </w:r>
      <w:r>
        <w:rPr>
          <w:rFonts w:ascii="Tenorite" w:cs="Tenorite" w:eastAsia="Tenorite" w:hAnsi="Tenorite"/>
          <w:color w:val="000000"/>
          <w:sz w:val="21"/>
          <w:szCs w:val="21"/>
        </w:rPr>
        <w:t xml:space="preserve">: Book Appointment Step/Modal (SCR-083); SIM Serial Step with validation (SCR-099); FMS CPE Bundle Configuration/Modify Screen (SCR-097).</w:t>
      </w:r>
    </w:p>
    <w:p>
      <w:pPr>
        <w:pStyle w:val="ListParagraph"/>
        <w:numPr>
          <w:ilvl w:val="0"/>
          <w:numId w:val="1"/>
        </w:numPr>
        <w:spacing w:after="80"/>
      </w:pPr>
      <w:r>
        <w:rPr>
          <w:rFonts w:ascii="Tenorite" w:cs="Tenorite" w:eastAsia="Tenorite" w:hAnsi="Tenorite"/>
          <w:b/>
          <w:bCs/>
          <w:color w:val="000000"/>
          <w:sz w:val="21"/>
          <w:szCs w:val="21"/>
        </w:rPr>
        <w:t xml:space="preserve">Mobile Postpaid</w:t>
      </w:r>
      <w:r>
        <w:rPr>
          <w:rFonts w:ascii="Tenorite" w:cs="Tenorite" w:eastAsia="Tenorite" w:hAnsi="Tenorite"/>
          <w:color w:val="000000"/>
          <w:sz w:val="21"/>
          <w:szCs w:val="21"/>
        </w:rPr>
        <w:t xml:space="preserve">: DXP Product Catalog, target state (SCR-026); Checkout Screen — Retail New Postpaid (SCR-036); Agent Desktop / Journey initiation (SCR-209).</w:t>
      </w:r>
    </w:p>
    <w:p>
      <w:pPr>
        <w:pStyle w:val="ListParagraph"/>
        <w:numPr>
          <w:ilvl w:val="0"/>
          <w:numId w:val="1"/>
        </w:numPr>
        <w:spacing w:after="80"/>
      </w:pPr>
      <w:r>
        <w:rPr>
          <w:rFonts w:ascii="Tenorite" w:cs="Tenorite" w:eastAsia="Tenorite" w:hAnsi="Tenorite"/>
          <w:b/>
          <w:bCs/>
          <w:color w:val="000000"/>
          <w:sz w:val="21"/>
          <w:szCs w:val="21"/>
        </w:rPr>
        <w:t xml:space="preserve">MNP / FNP Porting</w:t>
      </w:r>
      <w:r>
        <w:rPr>
          <w:rFonts w:ascii="Tenorite" w:cs="Tenorite" w:eastAsia="Tenorite" w:hAnsi="Tenorite"/>
          <w:color w:val="000000"/>
          <w:sz w:val="21"/>
          <w:szCs w:val="21"/>
        </w:rPr>
        <w:t xml:space="preserve">: MNP Guided Process — Choose process (SCR-120); Mobile Number Portability Application Form (SCR-128); CAF Preview/Sign (SCR-069).</w:t>
      </w:r>
    </w:p>
    <w:p>
      <w:pPr>
        <w:pStyle w:val="ListParagraph"/>
        <w:numPr>
          <w:ilvl w:val="0"/>
          <w:numId w:val="1"/>
        </w:numPr>
        <w:spacing w:after="80"/>
      </w:pPr>
      <w:r>
        <w:rPr>
          <w:rFonts w:ascii="Tenorite" w:cs="Tenorite" w:eastAsia="Tenorite" w:hAnsi="Tenorite"/>
          <w:b/>
          <w:bCs/>
          <w:color w:val="000000"/>
          <w:sz w:val="21"/>
          <w:szCs w:val="21"/>
        </w:rPr>
        <w:t xml:space="preserve">Lead Management</w:t>
      </w:r>
      <w:r>
        <w:rPr>
          <w:rFonts w:ascii="Tenorite" w:cs="Tenorite" w:eastAsia="Tenorite" w:hAnsi="Tenorite"/>
          <w:color w:val="000000"/>
          <w:sz w:val="21"/>
          <w:szCs w:val="21"/>
        </w:rPr>
        <w:t xml:space="preserve">: Cross Sales — Contact/QID entry (SCR-041); Sales Order detail (SCR-052); Lead Owner reassignment picker (SCR-146).</w:t>
      </w:r>
    </w:p>
    <w:p>
      <w:pPr>
        <w:pStyle w:val="ListParagraph"/>
        <w:numPr>
          <w:ilvl w:val="0"/>
          <w:numId w:val="1"/>
        </w:numPr>
        <w:spacing w:after="80"/>
      </w:pPr>
      <w:r>
        <w:rPr>
          <w:rFonts w:ascii="Tenorite" w:cs="Tenorite" w:eastAsia="Tenorite" w:hAnsi="Tenorite"/>
          <w:b/>
          <w:bCs/>
          <w:color w:val="000000"/>
          <w:sz w:val="21"/>
          <w:szCs w:val="21"/>
        </w:rPr>
        <w:t xml:space="preserve">Order Management</w:t>
      </w:r>
      <w:r>
        <w:rPr>
          <w:rFonts w:ascii="Tenorite" w:cs="Tenorite" w:eastAsia="Tenorite" w:hAnsi="Tenorite"/>
          <w:color w:val="000000"/>
          <w:sz w:val="21"/>
          <w:szCs w:val="21"/>
        </w:rPr>
        <w:t xml:space="preserve">: Order Approval detail with Attachments/Order Details/Activities/Agent Details tabs (SCR-061); Reject/Approve Order modals (SCR-062, SCR-063).</w:t>
      </w:r>
    </w:p>
    <w:p>
      <w:pPr>
        <w:spacing w:after="160" w:line="300"/>
      </w:pPr>
      <w:r>
        <w:rPr>
          <w:rFonts w:ascii="Tenorite" w:cs="Tenorite" w:eastAsia="Tenorite" w:hAnsi="Tenorite"/>
          <w:color w:val="000000"/>
          <w:sz w:val="21"/>
          <w:szCs w:val="21"/>
        </w:rPr>
        <w:t xml:space="preserve">(platform-sitemap.md)</w:t>
      </w:r>
    </w:p>
    <w:p>
      <w:pPr>
        <w:spacing w:after="160" w:line="300"/>
      </w:pPr>
      <w:r>
        <w:rPr>
          <w:rFonts w:ascii="Tenorite" w:cs="Tenorite" w:eastAsia="Tenorite" w:hAnsi="Tenorite"/>
          <w:color w:val="000000"/>
          <w:sz w:val="21"/>
          <w:szCs w:val="21"/>
        </w:rPr>
        <w:t xml:space="preserve">Note: Mobile Prepaid appears as its own module but shows 0 dedicated screens in the sitemap — its capabilities surface through screens catalogued under other modules (platform-sitemap.md).</w:t>
      </w:r>
    </w:p>
    <w:p>
      <w:pPr>
        <w:pStyle w:val="Heading2"/>
        <w:spacing w:after="120" w:before="260"/>
      </w:pPr>
      <w:r>
        <w:t xml:space="preserve">3. Channel Architecture</w:t>
      </w:r>
    </w:p>
    <w:p>
      <w:pPr>
        <w:spacing w:after="160" w:line="300"/>
      </w:pPr>
      <w:r>
        <w:rPr>
          <w:rFonts w:ascii="Tenorite" w:cs="Tenorite" w:eastAsia="Tenorite" w:hAnsi="Tenorite"/>
          <w:color w:val="000000"/>
          <w:sz w:val="21"/>
          <w:szCs w:val="21"/>
        </w:rPr>
        <w:t xml:space="preserve">The same underlying journeys (activation, porting, migration, etc.) are served through several distinct channels/personas (channel-architecture.md):</w:t>
      </w:r>
    </w:p>
    <w:p>
      <w:pPr>
        <w:pStyle w:val="ListParagraph"/>
        <w:numPr>
          <w:ilvl w:val="0"/>
          <w:numId w:val="1"/>
        </w:numPr>
        <w:spacing w:after="80"/>
      </w:pPr>
      <w:r>
        <w:rPr>
          <w:rFonts w:ascii="Tenorite" w:cs="Tenorite" w:eastAsia="Tenorite" w:hAnsi="Tenorite"/>
          <w:b/>
          <w:bCs/>
          <w:color w:val="000000"/>
          <w:sz w:val="21"/>
          <w:szCs w:val="21"/>
        </w:rPr>
        <w:t xml:space="preserve">Open UI Desktop</w:t>
      </w:r>
      <w:r>
        <w:rPr>
          <w:rFonts w:ascii="Tenorite" w:cs="Tenorite" w:eastAsia="Tenorite" w:hAnsi="Tenorite"/>
          <w:color w:val="000000"/>
          <w:sz w:val="21"/>
          <w:szCs w:val="21"/>
        </w:rPr>
        <w:t xml:space="preserve"> — primary agent-assisted browser channel for Retail/Sales Agents and Back-office Fulfilment; richest coverage (95 screens, 13 journeys); the main build target.</w:t>
      </w:r>
    </w:p>
    <w:p>
      <w:pPr>
        <w:pStyle w:val="ListParagraph"/>
        <w:numPr>
          <w:ilvl w:val="0"/>
          <w:numId w:val="1"/>
        </w:numPr>
        <w:spacing w:after="80"/>
      </w:pPr>
      <w:r>
        <w:rPr>
          <w:rFonts w:ascii="Tenorite" w:cs="Tenorite" w:eastAsia="Tenorite" w:hAnsi="Tenorite"/>
          <w:b/>
          <w:bCs/>
          <w:color w:val="000000"/>
          <w:sz w:val="21"/>
          <w:szCs w:val="21"/>
        </w:rPr>
        <w:t xml:space="preserve">Open UI Tablet</w:t>
      </w:r>
      <w:r>
        <w:rPr>
          <w:rFonts w:ascii="Tenorite" w:cs="Tenorite" w:eastAsia="Tenorite" w:hAnsi="Tenorite"/>
          <w:color w:val="000000"/>
          <w:sz w:val="21"/>
          <w:szCs w:val="21"/>
        </w:rPr>
        <w:t xml:space="preserve"> — a parallel agent-assisted channel, near-complete mirror of Desktop (65 screens, 25 journeys) rather than a reduced mobile subset — most journeys exist in both forms.</w:t>
      </w:r>
    </w:p>
    <w:p>
      <w:pPr>
        <w:pStyle w:val="ListParagraph"/>
        <w:numPr>
          <w:ilvl w:val="0"/>
          <w:numId w:val="1"/>
        </w:numPr>
        <w:spacing w:after="80"/>
      </w:pPr>
      <w:r>
        <w:rPr>
          <w:rFonts w:ascii="Tenorite" w:cs="Tenorite" w:eastAsia="Tenorite" w:hAnsi="Tenorite"/>
          <w:b/>
          <w:bCs/>
          <w:color w:val="000000"/>
          <w:sz w:val="21"/>
          <w:szCs w:val="21"/>
        </w:rPr>
        <w:t xml:space="preserve">Desktop Vanilla (manual Siebel)</w:t>
      </w:r>
      <w:r>
        <w:rPr>
          <w:rFonts w:ascii="Tenorite" w:cs="Tenorite" w:eastAsia="Tenorite" w:hAnsi="Tenorite"/>
          <w:color w:val="000000"/>
          <w:sz w:val="21"/>
          <w:szCs w:val="21"/>
        </w:rPr>
        <w:t xml:space="preserve"> — the raw, unguided fallback agents use when a guided wizard doesn't cover a scenario (32 screens, 8 journeys); an edge-case channel, not a design target.</w:t>
      </w:r>
    </w:p>
    <w:p>
      <w:pPr>
        <w:pStyle w:val="ListParagraph"/>
        <w:numPr>
          <w:ilvl w:val="0"/>
          <w:numId w:val="1"/>
        </w:numPr>
        <w:spacing w:after="80"/>
      </w:pPr>
      <w:r>
        <w:rPr>
          <w:rFonts w:ascii="Tenorite" w:cs="Tenorite" w:eastAsia="Tenorite" w:hAnsi="Tenorite"/>
          <w:b/>
          <w:bCs/>
          <w:color w:val="000000"/>
          <w:sz w:val="21"/>
          <w:szCs w:val="21"/>
        </w:rPr>
        <w:t xml:space="preserve">CBU vs. EBU</w:t>
      </w:r>
      <w:r>
        <w:rPr>
          <w:rFonts w:ascii="Tenorite" w:cs="Tenorite" w:eastAsia="Tenorite" w:hAnsi="Tenorite"/>
          <w:color w:val="000000"/>
          <w:sz w:val="21"/>
          <w:szCs w:val="21"/>
        </w:rPr>
        <w:t xml:space="preserve"> — business-segment lenses, not separate technical channels. Of 165 catalogued journeys, 143 apply to CBU (Consumer), 127 to EBU (Enterprise), and 105 to both — most capabilities are shared, with EBU adding segment-specific extras (sub-account hierarchy, authorised-person "choosers," IoT/M2M/DAPN/PTT, volumetric discounts).</w:t>
      </w:r>
    </w:p>
    <w:p>
      <w:pPr>
        <w:pStyle w:val="ListParagraph"/>
        <w:numPr>
          <w:ilvl w:val="0"/>
          <w:numId w:val="1"/>
        </w:numPr>
        <w:spacing w:after="80"/>
      </w:pPr>
      <w:r>
        <w:rPr>
          <w:rFonts w:ascii="Tenorite" w:cs="Tenorite" w:eastAsia="Tenorite" w:hAnsi="Tenorite"/>
          <w:b/>
          <w:bCs/>
          <w:color w:val="000000"/>
          <w:sz w:val="21"/>
          <w:szCs w:val="21"/>
        </w:rPr>
        <w:t xml:space="preserve">Digital Self-Service</w:t>
      </w:r>
      <w:r>
        <w:rPr>
          <w:rFonts w:ascii="Tenorite" w:cs="Tenorite" w:eastAsia="Tenorite" w:hAnsi="Tenorite"/>
          <w:color w:val="000000"/>
          <w:sz w:val="21"/>
          <w:szCs w:val="21"/>
        </w:rPr>
        <w:t xml:space="preserve"> — customer-direct, no-agent web channel; evidenced by only one document, flagged as a likely corpus gap rather than proof the channel is minor.</w:t>
      </w:r>
    </w:p>
    <w:p>
      <w:pPr>
        <w:pStyle w:val="ListParagraph"/>
        <w:numPr>
          <w:ilvl w:val="0"/>
          <w:numId w:val="1"/>
        </w:numPr>
        <w:spacing w:after="80"/>
      </w:pPr>
      <w:r>
        <w:rPr>
          <w:rFonts w:ascii="Tenorite" w:cs="Tenorite" w:eastAsia="Tenorite" w:hAnsi="Tenorite"/>
          <w:b/>
          <w:bCs/>
          <w:color w:val="000000"/>
          <w:sz w:val="21"/>
          <w:szCs w:val="21"/>
        </w:rPr>
        <w:t xml:space="preserve">ECR and VSA (legacy)</w:t>
      </w:r>
      <w:r>
        <w:rPr>
          <w:rFonts w:ascii="Tenorite" w:cs="Tenorite" w:eastAsia="Tenorite" w:hAnsi="Tenorite"/>
          <w:color w:val="000000"/>
          <w:sz w:val="21"/>
          <w:szCs w:val="21"/>
        </w:rPr>
        <w:t xml:space="preserve"> — ECR is explicitly being phased out for prepaid sales; VSA is its named replacement. Neither is a target for the new DXP.</w:t>
      </w:r>
    </w:p>
    <w:p>
      <w:pPr>
        <w:pStyle w:val="ListParagraph"/>
        <w:numPr>
          <w:ilvl w:val="0"/>
          <w:numId w:val="1"/>
        </w:numPr>
        <w:spacing w:after="80"/>
      </w:pPr>
      <w:r>
        <w:rPr>
          <w:rFonts w:ascii="Tenorite" w:cs="Tenorite" w:eastAsia="Tenorite" w:hAnsi="Tenorite"/>
          <w:b/>
          <w:bCs/>
          <w:color w:val="000000"/>
          <w:sz w:val="21"/>
          <w:szCs w:val="21"/>
        </w:rPr>
        <w:t xml:space="preserve">Field/WFM (Oracle Field Service)</w:t>
      </w:r>
      <w:r>
        <w:rPr>
          <w:rFonts w:ascii="Tenorite" w:cs="Tenorite" w:eastAsia="Tenorite" w:hAnsi="Tenorite"/>
          <w:color w:val="000000"/>
          <w:sz w:val="21"/>
          <w:szCs w:val="21"/>
        </w:rPr>
        <w:t xml:space="preserve"> — technician-facing mobile channel for on-site installation; only the appointment-booking handoff point is evidenced.</w:t>
      </w:r>
    </w:p>
    <w:p>
      <w:pPr>
        <w:pStyle w:val="ListParagraph"/>
        <w:numPr>
          <w:ilvl w:val="0"/>
          <w:numId w:val="1"/>
        </w:numPr>
        <w:spacing w:after="80"/>
      </w:pPr>
      <w:r>
        <w:rPr>
          <w:rFonts w:ascii="Tenorite" w:cs="Tenorite" w:eastAsia="Tenorite" w:hAnsi="Tenorite"/>
          <w:b/>
          <w:bCs/>
          <w:color w:val="000000"/>
          <w:sz w:val="21"/>
          <w:szCs w:val="21"/>
        </w:rPr>
        <w:t xml:space="preserve">My Vodafone (MVA) app / chatbot</w:t>
      </w:r>
      <w:r>
        <w:rPr>
          <w:rFonts w:ascii="Tenorite" w:cs="Tenorite" w:eastAsia="Tenorite" w:hAnsi="Tenorite"/>
          <w:color w:val="000000"/>
          <w:sz w:val="21"/>
          <w:szCs w:val="21"/>
        </w:rPr>
        <w:t xml:space="preserve"> — referenced only as an SMS deep-link destination; no screens evidenced, a documented gap.</w:t>
      </w:r>
    </w:p>
    <w:p>
      <w:pPr>
        <w:spacing w:after="160" w:line="300"/>
      </w:pPr>
      <w:r>
        <w:rPr>
          <w:rFonts w:ascii="Tenorite" w:cs="Tenorite" w:eastAsia="Tenorite" w:hAnsi="Tenorite"/>
          <w:color w:val="000000"/>
          <w:sz w:val="21"/>
          <w:szCs w:val="21"/>
        </w:rPr>
        <w:t xml:space="preserve">In short: the same journey is built once but rendered through Desktop and Tablet guided wizards for agents, with a Vanilla manual fallback, while CBU/EBU determine which optional fields and account structures apply (channel-architecture.md).</w:t>
      </w:r>
    </w:p>
    <w:p>
      <w:pPr>
        <w:pStyle w:val="Heading2"/>
        <w:spacing w:after="120" w:before="260"/>
      </w:pPr>
      <w:r>
        <w:t xml:space="preserve">4. UI Component Catalogue</w:t>
      </w:r>
    </w:p>
    <w:p>
      <w:pPr>
        <w:spacing w:after="160" w:line="300"/>
      </w:pPr>
      <w:r>
        <w:rPr>
          <w:rFonts w:ascii="Tenorite" w:cs="Tenorite" w:eastAsia="Tenorite" w:hAnsi="Tenorite"/>
          <w:color w:val="000000"/>
          <w:sz w:val="21"/>
          <w:szCs w:val="21"/>
        </w:rPr>
        <w:t xml:space="preserve">The catalogue (component-catalogue.md) defines two main tiers, reconciled against a real Vodafone design-system source:</w:t>
      </w:r>
    </w:p>
    <w:p>
      <w:pPr>
        <w:spacing w:after="160" w:line="300"/>
      </w:pPr>
      <w:r>
        <w:rPr>
          <w:rFonts w:ascii="Tenorite" w:cs="Tenorite" w:eastAsia="Tenorite" w:hAnsi="Tenorite"/>
          <w:b/>
          <w:bCs/>
          <w:color w:val="000000"/>
          <w:sz w:val="21"/>
          <w:szCs w:val="21"/>
        </w:rPr>
        <w:t xml:space="preserve">Primitives</w:t>
      </w:r>
      <w:r>
        <w:rPr>
          <w:rFonts w:ascii="Tenorite" w:cs="Tenorite" w:eastAsia="Tenorite" w:hAnsi="Tenorite"/>
          <w:color w:val="000000"/>
          <w:sz w:val="21"/>
          <w:szCs w:val="21"/>
        </w:rPr>
        <w:t xml:space="preserve"> — generic building blocks sized against the evidenced 970-field and 213-screen inventories: </w:t>
      </w:r>
      <w:r>
        <w:rPr>
          <w:rFonts w:ascii="Tenorite" w:cs="Tenorite" w:eastAsia="Tenorite" w:hAnsi="Tenorite"/>
          <w:color w:val="000000"/>
          <w:sz w:val="21"/>
          <w:szCs w:val="21"/>
        </w:rPr>
        <w:t xml:space="preserve">&lt;TextInput&gt;</w:t>
      </w:r>
      <w:r>
        <w:rPr>
          <w:rFonts w:ascii="Tenorite" w:cs="Tenorite" w:eastAsia="Tenorite" w:hAnsi="Tenorite"/>
          <w:color w:val="000000"/>
          <w:sz w:val="21"/>
          <w:szCs w:val="21"/>
        </w:rPr>
        <w:t xml:space="preserve"> (214 fields), </w:t>
      </w:r>
      <w:r>
        <w:rPr>
          <w:rFonts w:ascii="Tenorite" w:cs="Tenorite" w:eastAsia="Tenorite" w:hAnsi="Tenorite"/>
          <w:color w:val="000000"/>
          <w:sz w:val="21"/>
          <w:szCs w:val="21"/>
        </w:rPr>
        <w:t xml:space="preserve">&lt;Select&gt;</w:t>
      </w:r>
      <w:r>
        <w:rPr>
          <w:rFonts w:ascii="Tenorite" w:cs="Tenorite" w:eastAsia="Tenorite" w:hAnsi="Tenorite"/>
          <w:color w:val="000000"/>
          <w:sz w:val="21"/>
          <w:szCs w:val="21"/>
        </w:rPr>
        <w:t xml:space="preserve">/</w:t>
      </w:r>
      <w:r>
        <w:rPr>
          <w:rFonts w:ascii="Tenorite" w:cs="Tenorite" w:eastAsia="Tenorite" w:hAnsi="Tenorite"/>
          <w:color w:val="000000"/>
          <w:sz w:val="21"/>
          <w:szCs w:val="21"/>
        </w:rPr>
        <w:t xml:space="preserve">&lt;Dropdown&gt;</w:t>
      </w:r>
      <w:r>
        <w:rPr>
          <w:rFonts w:ascii="Tenorite" w:cs="Tenorite" w:eastAsia="Tenorite" w:hAnsi="Tenorite"/>
          <w:color w:val="000000"/>
          <w:sz w:val="21"/>
          <w:szCs w:val="21"/>
        </w:rPr>
        <w:t xml:space="preserve"> (~187 fields), </w:t>
      </w:r>
      <w:r>
        <w:rPr>
          <w:rFonts w:ascii="Tenorite" w:cs="Tenorite" w:eastAsia="Tenorite" w:hAnsi="Tenorite"/>
          <w:color w:val="000000"/>
          <w:sz w:val="21"/>
          <w:szCs w:val="21"/>
        </w:rPr>
        <w:t xml:space="preserve">&lt;NumberInput&gt;</w:t>
      </w:r>
      <w:r>
        <w:rPr>
          <w:rFonts w:ascii="Tenorite" w:cs="Tenorite" w:eastAsia="Tenorite" w:hAnsi="Tenorite"/>
          <w:color w:val="000000"/>
          <w:sz w:val="21"/>
          <w:szCs w:val="21"/>
        </w:rPr>
        <w:t xml:space="preserve"> (77 fields), </w:t>
      </w:r>
      <w:r>
        <w:rPr>
          <w:rFonts w:ascii="Tenorite" w:cs="Tenorite" w:eastAsia="Tenorite" w:hAnsi="Tenorite"/>
          <w:color w:val="000000"/>
          <w:sz w:val="21"/>
          <w:szCs w:val="21"/>
        </w:rPr>
        <w:t xml:space="preserve">&lt;FileUpload&gt;</w:t>
      </w:r>
      <w:r>
        <w:rPr>
          <w:rFonts w:ascii="Tenorite" w:cs="Tenorite" w:eastAsia="Tenorite" w:hAnsi="Tenorite"/>
          <w:color w:val="000000"/>
          <w:sz w:val="21"/>
          <w:szCs w:val="21"/>
        </w:rPr>
        <w:t xml:space="preserve"> (45 fields), </w:t>
      </w:r>
      <w:r>
        <w:rPr>
          <w:rFonts w:ascii="Tenorite" w:cs="Tenorite" w:eastAsia="Tenorite" w:hAnsi="Tenorite"/>
          <w:color w:val="000000"/>
          <w:sz w:val="21"/>
          <w:szCs w:val="21"/>
        </w:rPr>
        <w:t xml:space="preserve">&lt;DatePicker&gt;</w:t>
      </w:r>
      <w:r>
        <w:rPr>
          <w:rFonts w:ascii="Tenorite" w:cs="Tenorite" w:eastAsia="Tenorite" w:hAnsi="Tenorite"/>
          <w:color w:val="000000"/>
          <w:sz w:val="21"/>
          <w:szCs w:val="21"/>
        </w:rPr>
        <w:t xml:space="preserve"> (32 fields), </w:t>
      </w:r>
      <w:r>
        <w:rPr>
          <w:rFonts w:ascii="Tenorite" w:cs="Tenorite" w:eastAsia="Tenorite" w:hAnsi="Tenorite"/>
          <w:color w:val="000000"/>
          <w:sz w:val="21"/>
          <w:szCs w:val="21"/>
        </w:rPr>
        <w:t xml:space="preserve">&lt;SignaturePad&gt;</w:t>
      </w:r>
      <w:r>
        <w:rPr>
          <w:rFonts w:ascii="Tenorite" w:cs="Tenorite" w:eastAsia="Tenorite" w:hAnsi="Tenorite"/>
          <w:color w:val="000000"/>
          <w:sz w:val="21"/>
          <w:szCs w:val="21"/>
        </w:rPr>
        <w:t xml:space="preserve"> (16 fields), </w:t>
      </w:r>
      <w:r>
        <w:rPr>
          <w:rFonts w:ascii="Tenorite" w:cs="Tenorite" w:eastAsia="Tenorite" w:hAnsi="Tenorite"/>
          <w:color w:val="000000"/>
          <w:sz w:val="21"/>
          <w:szCs w:val="21"/>
        </w:rPr>
        <w:t xml:space="preserve">&lt;Modal&gt;</w:t>
      </w:r>
      <w:r>
        <w:rPr>
          <w:rFonts w:ascii="Tenorite" w:cs="Tenorite" w:eastAsia="Tenorite" w:hAnsi="Tenorite"/>
          <w:color w:val="000000"/>
          <w:sz w:val="21"/>
          <w:szCs w:val="21"/>
        </w:rPr>
        <w:t xml:space="preserve"> (backs 32 Modal screens), </w:t>
      </w:r>
      <w:r>
        <w:rPr>
          <w:rFonts w:ascii="Tenorite" w:cs="Tenorite" w:eastAsia="Tenorite" w:hAnsi="Tenorite"/>
          <w:color w:val="000000"/>
          <w:sz w:val="21"/>
          <w:szCs w:val="21"/>
        </w:rPr>
        <w:t xml:space="preserve">&lt;Stepper&gt;</w:t>
      </w:r>
      <w:r>
        <w:rPr>
          <w:rFonts w:ascii="Tenorite" w:cs="Tenorite" w:eastAsia="Tenorite" w:hAnsi="Tenorite"/>
          <w:color w:val="000000"/>
          <w:sz w:val="21"/>
          <w:szCs w:val="21"/>
        </w:rPr>
        <w:t xml:space="preserve">/</w:t>
      </w:r>
      <w:r>
        <w:rPr>
          <w:rFonts w:ascii="Tenorite" w:cs="Tenorite" w:eastAsia="Tenorite" w:hAnsi="Tenorite"/>
          <w:color w:val="000000"/>
          <w:sz w:val="21"/>
          <w:szCs w:val="21"/>
        </w:rPr>
        <w:t xml:space="preserve">&lt;WizardShell&gt;</w:t>
      </w:r>
      <w:r>
        <w:rPr>
          <w:rFonts w:ascii="Tenorite" w:cs="Tenorite" w:eastAsia="Tenorite" w:hAnsi="Tenorite"/>
          <w:color w:val="000000"/>
          <w:sz w:val="21"/>
          <w:szCs w:val="21"/>
        </w:rPr>
        <w:t xml:space="preserve"> (backs 58 Wizard screens), </w:t>
      </w:r>
      <w:r>
        <w:rPr>
          <w:rFonts w:ascii="Tenorite" w:cs="Tenorite" w:eastAsia="Tenorite" w:hAnsi="Tenorite"/>
          <w:color w:val="000000"/>
          <w:sz w:val="21"/>
          <w:szCs w:val="21"/>
        </w:rPr>
        <w:t xml:space="preserve">&lt;DataTable&gt;</w:t>
      </w:r>
      <w:r>
        <w:rPr>
          <w:rFonts w:ascii="Tenorite" w:cs="Tenorite" w:eastAsia="Tenorite" w:hAnsi="Tenorite"/>
          <w:color w:val="000000"/>
          <w:sz w:val="21"/>
          <w:szCs w:val="21"/>
        </w:rPr>
        <w:t xml:space="preserve"> (list/grid screens). Primitive names are an assumed engineering convention; the underlying counts are directly evidenced.</w:t>
      </w:r>
    </w:p>
    <w:p>
      <w:pPr>
        <w:spacing w:after="160" w:line="300"/>
      </w:pPr>
      <w:r>
        <w:rPr>
          <w:rFonts w:ascii="Tenorite" w:cs="Tenorite" w:eastAsia="Tenorite" w:hAnsi="Tenorite"/>
          <w:b/>
          <w:bCs/>
          <w:color w:val="000000"/>
          <w:sz w:val="21"/>
          <w:szCs w:val="21"/>
        </w:rPr>
        <w:t xml:space="preserve">Domain components</w:t>
      </w:r>
      <w:r>
        <w:rPr>
          <w:rFonts w:ascii="Tenorite" w:cs="Tenorite" w:eastAsia="Tenorite" w:hAnsi="Tenorite"/>
          <w:color w:val="000000"/>
          <w:sz w:val="21"/>
          <w:szCs w:val="21"/>
        </w:rPr>
        <w:t xml:space="preserve"> — business-aware wrappers bound to specific entities: </w:t>
      </w:r>
      <w:r>
        <w:rPr>
          <w:rFonts w:ascii="Tenorite" w:cs="Tenorite" w:eastAsia="Tenorite" w:hAnsi="Tenorite"/>
          <w:color w:val="000000"/>
          <w:sz w:val="21"/>
          <w:szCs w:val="21"/>
        </w:rPr>
        <w:t xml:space="preserve">&lt;QidInput&gt;</w:t>
      </w:r>
      <w:r>
        <w:rPr>
          <w:rFonts w:ascii="Tenorite" w:cs="Tenorite" w:eastAsia="Tenorite" w:hAnsi="Tenorite"/>
          <w:color w:val="000000"/>
          <w:sz w:val="21"/>
          <w:szCs w:val="21"/>
        </w:rPr>
        <w:t xml:space="preserve"> (Qatari ID/Passport/GCC/Diplomatic ID validation), </w:t>
      </w:r>
      <w:r>
        <w:rPr>
          <w:rFonts w:ascii="Tenorite" w:cs="Tenorite" w:eastAsia="Tenorite" w:hAnsi="Tenorite"/>
          <w:color w:val="000000"/>
          <w:sz w:val="21"/>
          <w:szCs w:val="21"/>
        </w:rPr>
        <w:t xml:space="preserve">&lt;MsisdnPicker&gt;</w:t>
      </w:r>
      <w:r>
        <w:rPr>
          <w:rFonts w:ascii="Tenorite" w:cs="Tenorite" w:eastAsia="Tenorite" w:hAnsi="Tenorite"/>
          <w:color w:val="000000"/>
          <w:sz w:val="21"/>
          <w:szCs w:val="21"/>
        </w:rPr>
        <w:t xml:space="preserve"> (number selection with live reservation-token feedback), </w:t>
      </w:r>
      <w:r>
        <w:rPr>
          <w:rFonts w:ascii="Tenorite" w:cs="Tenorite" w:eastAsia="Tenorite" w:hAnsi="Tenorite"/>
          <w:color w:val="000000"/>
          <w:sz w:val="21"/>
          <w:szCs w:val="21"/>
        </w:rPr>
        <w:t xml:space="preserve">&lt;SimSerialScanner&gt;</w:t>
      </w:r>
      <w:r>
        <w:rPr>
          <w:rFonts w:ascii="Tenorite" w:cs="Tenorite" w:eastAsia="Tenorite" w:hAnsi="Tenorite"/>
          <w:color w:val="000000"/>
          <w:sz w:val="21"/>
          <w:szCs w:val="21"/>
        </w:rPr>
        <w:t xml:space="preserve"> (barcode entry with real-time UIM validation), </w:t>
      </w:r>
      <w:r>
        <w:rPr>
          <w:rFonts w:ascii="Tenorite" w:cs="Tenorite" w:eastAsia="Tenorite" w:hAnsi="Tenorite"/>
          <w:color w:val="000000"/>
          <w:sz w:val="21"/>
          <w:szCs w:val="21"/>
        </w:rPr>
        <w:t xml:space="preserve">&lt;CreditLimitEditor&gt;</w:t>
      </w:r>
      <w:r>
        <w:rPr>
          <w:rFonts w:ascii="Tenorite" w:cs="Tenorite" w:eastAsia="Tenorite" w:hAnsi="Tenorite"/>
          <w:color w:val="000000"/>
          <w:sz w:val="21"/>
          <w:szCs w:val="21"/>
        </w:rPr>
        <w:t xml:space="preserve"> (constrained dropdown plus rule-engine threshold check), </w:t>
      </w:r>
      <w:r>
        <w:rPr>
          <w:rFonts w:ascii="Tenorite" w:cs="Tenorite" w:eastAsia="Tenorite" w:hAnsi="Tenorite"/>
          <w:color w:val="000000"/>
          <w:sz w:val="21"/>
          <w:szCs w:val="21"/>
        </w:rPr>
        <w:t xml:space="preserve">&lt;AttachmentTile&gt;</w:t>
      </w:r>
      <w:r>
        <w:rPr>
          <w:rFonts w:ascii="Tenorite" w:cs="Tenorite" w:eastAsia="Tenorite" w:hAnsi="Tenorite"/>
          <w:color w:val="000000"/>
          <w:sz w:val="21"/>
          <w:szCs w:val="21"/>
        </w:rPr>
        <w:t xml:space="preserve"> (upload with mandatory-gating badge, used for CAF).</w:t>
      </w:r>
    </w:p>
    <w:p>
      <w:pPr>
        <w:spacing w:after="160" w:line="300"/>
      </w:pPr>
      <w:r>
        <w:rPr>
          <w:rFonts w:ascii="Tenorite" w:cs="Tenorite" w:eastAsia="Tenorite" w:hAnsi="Tenorite"/>
          <w:color w:val="000000"/>
          <w:sz w:val="21"/>
          <w:szCs w:val="21"/>
        </w:rPr>
        <w:t xml:space="preserve">A third tier — 18 </w:t>
      </w:r>
      <w:r>
        <w:rPr>
          <w:rFonts w:ascii="Tenorite" w:cs="Tenorite" w:eastAsia="Tenorite" w:hAnsi="Tenorite"/>
          <w:b/>
          <w:bCs/>
          <w:color w:val="000000"/>
          <w:sz w:val="21"/>
          <w:szCs w:val="21"/>
        </w:rPr>
        <w:t xml:space="preserve">pattern components</w:t>
      </w:r>
      <w:r>
        <w:rPr>
          <w:rFonts w:ascii="Tenorite" w:cs="Tenorite" w:eastAsia="Tenorite" w:hAnsi="Tenorite"/>
          <w:color w:val="000000"/>
          <w:sz w:val="21"/>
          <w:szCs w:val="21"/>
        </w:rPr>
        <w:t xml:space="preserve"> (Guided Wizard, Customer 360, Order Approval Queue, CAF Signature Capture, Bulk Operation Portal, etc.) — is documented separately. Reconciliation against the real Vodafone design system maps </w:t>
      </w:r>
      <w:r>
        <w:rPr>
          <w:rFonts w:ascii="Tenorite" w:cs="Tenorite" w:eastAsia="Tenorite" w:hAnsi="Tenorite"/>
          <w:color w:val="000000"/>
          <w:sz w:val="21"/>
          <w:szCs w:val="21"/>
        </w:rPr>
        <w:t xml:space="preserve">&lt;TextInput&gt;</w:t>
      </w:r>
      <w:r>
        <w:rPr>
          <w:rFonts w:ascii="Tenorite" w:cs="Tenorite" w:eastAsia="Tenorite" w:hAnsi="Tenorite"/>
          <w:color w:val="000000"/>
          <w:sz w:val="21"/>
          <w:szCs w:val="21"/>
        </w:rPr>
        <w:t xml:space="preserve"> to a real </w:t>
      </w:r>
      <w:r>
        <w:rPr>
          <w:rFonts w:ascii="Tenorite" w:cs="Tenorite" w:eastAsia="Tenorite" w:hAnsi="Tenorite"/>
          <w:color w:val="000000"/>
          <w:sz w:val="21"/>
          <w:szCs w:val="21"/>
        </w:rPr>
        <w:t xml:space="preserve">Input</w:t>
      </w:r>
      <w:r>
        <w:rPr>
          <w:rFonts w:ascii="Tenorite" w:cs="Tenorite" w:eastAsia="Tenorite" w:hAnsi="Tenorite"/>
          <w:color w:val="000000"/>
          <w:sz w:val="21"/>
          <w:szCs w:val="21"/>
        </w:rPr>
        <w:t xml:space="preserve"> component and </w:t>
      </w:r>
      <w:r>
        <w:rPr>
          <w:rFonts w:ascii="Tenorite" w:cs="Tenorite" w:eastAsia="Tenorite" w:hAnsi="Tenorite"/>
          <w:color w:val="000000"/>
          <w:sz w:val="21"/>
          <w:szCs w:val="21"/>
        </w:rPr>
        <w:t xml:space="preserve">&lt;Badge&gt;</w:t>
      </w:r>
      <w:r>
        <w:rPr>
          <w:rFonts w:ascii="Tenorite" w:cs="Tenorite" w:eastAsia="Tenorite" w:hAnsi="Tenorite"/>
          <w:color w:val="000000"/>
          <w:sz w:val="21"/>
          <w:szCs w:val="21"/>
        </w:rPr>
        <w:t xml:space="preserve">/</w:t>
      </w:r>
      <w:r>
        <w:rPr>
          <w:rFonts w:ascii="Tenorite" w:cs="Tenorite" w:eastAsia="Tenorite" w:hAnsi="Tenorite"/>
          <w:color w:val="000000"/>
          <w:sz w:val="21"/>
          <w:szCs w:val="21"/>
        </w:rPr>
        <w:t xml:space="preserve">&lt;StatusPill&gt;</w:t>
      </w:r>
      <w:r>
        <w:rPr>
          <w:rFonts w:ascii="Tenorite" w:cs="Tenorite" w:eastAsia="Tenorite" w:hAnsi="Tenorite"/>
          <w:color w:val="000000"/>
          <w:sz w:val="21"/>
          <w:szCs w:val="21"/>
        </w:rPr>
        <w:t xml:space="preserve"> to a real </w:t>
      </w:r>
      <w:r>
        <w:rPr>
          <w:rFonts w:ascii="Tenorite" w:cs="Tenorite" w:eastAsia="Tenorite" w:hAnsi="Tenorite"/>
          <w:color w:val="000000"/>
          <w:sz w:val="21"/>
          <w:szCs w:val="21"/>
        </w:rPr>
        <w:t xml:space="preserve">TagPill</w:t>
      </w:r>
      <w:r>
        <w:rPr>
          <w:rFonts w:ascii="Tenorite" w:cs="Tenorite" w:eastAsia="Tenorite" w:hAnsi="Tenorite"/>
          <w:color w:val="000000"/>
          <w:sz w:val="21"/>
          <w:szCs w:val="21"/>
        </w:rPr>
        <w:t xml:space="preserve">, and adopts a 5-variant </w:t>
      </w:r>
      <w:r>
        <w:rPr>
          <w:rFonts w:ascii="Tenorite" w:cs="Tenorite" w:eastAsia="Tenorite" w:hAnsi="Tenorite"/>
          <w:color w:val="000000"/>
          <w:sz w:val="21"/>
          <w:szCs w:val="21"/>
        </w:rPr>
        <w:t xml:space="preserve">Button</w:t>
      </w:r>
      <w:r>
        <w:rPr>
          <w:rFonts w:ascii="Tenorite" w:cs="Tenorite" w:eastAsia="Tenorite" w:hAnsi="Tenorite"/>
          <w:color w:val="000000"/>
          <w:sz w:val="21"/>
          <w:szCs w:val="21"/>
        </w:rPr>
        <w:t xml:space="preserve"> directly — while </w:t>
      </w:r>
      <w:r>
        <w:rPr>
          <w:rFonts w:ascii="Tenorite" w:cs="Tenorite" w:eastAsia="Tenorite" w:hAnsi="Tenorite"/>
          <w:color w:val="000000"/>
          <w:sz w:val="21"/>
          <w:szCs w:val="21"/>
        </w:rPr>
        <w:t xml:space="preserve">&lt;DataTable&gt;</w:t>
      </w:r>
      <w:r>
        <w:rPr>
          <w:rFonts w:ascii="Tenorite" w:cs="Tenorite" w:eastAsia="Tenorite" w:hAnsi="Tenorite"/>
          <w:color w:val="000000"/>
          <w:sz w:val="21"/>
          <w:szCs w:val="21"/>
        </w:rPr>
        <w:t xml:space="preserve">, </w:t>
      </w:r>
      <w:r>
        <w:rPr>
          <w:rFonts w:ascii="Tenorite" w:cs="Tenorite" w:eastAsia="Tenorite" w:hAnsi="Tenorite"/>
          <w:color w:val="000000"/>
          <w:sz w:val="21"/>
          <w:szCs w:val="21"/>
        </w:rPr>
        <w:t xml:space="preserve">&lt;Stepper&gt;</w:t>
      </w:r>
      <w:r>
        <w:rPr>
          <w:rFonts w:ascii="Tenorite" w:cs="Tenorite" w:eastAsia="Tenorite" w:hAnsi="Tenorite"/>
          <w:color w:val="000000"/>
          <w:sz w:val="21"/>
          <w:szCs w:val="21"/>
        </w:rPr>
        <w:t xml:space="preserve">, and </w:t>
      </w:r>
      <w:r>
        <w:rPr>
          <w:rFonts w:ascii="Tenorite" w:cs="Tenorite" w:eastAsia="Tenorite" w:hAnsi="Tenorite"/>
          <w:color w:val="000000"/>
          <w:sz w:val="21"/>
          <w:szCs w:val="21"/>
        </w:rPr>
        <w:t xml:space="preserve">&lt;Modal&gt;</w:t>
      </w:r>
      <w:r>
        <w:rPr>
          <w:rFonts w:ascii="Tenorite" w:cs="Tenorite" w:eastAsia="Tenorite" w:hAnsi="Tenorite"/>
          <w:color w:val="000000"/>
          <w:sz w:val="21"/>
          <w:szCs w:val="21"/>
        </w:rPr>
        <w:t xml:space="preserve">-driven wizards have no analog there and must be built from scratch using its tokens (component-catalogue.md).</w:t>
      </w:r>
    </w:p>
    <w:p>
      <w:pPr>
        <w:pStyle w:val="Heading2"/>
        <w:spacing w:after="120" w:before="260"/>
      </w:pPr>
      <w:r>
        <w:t xml:space="preserve">5. Screen Behaviour Patterns</w:t>
      </w:r>
    </w:p>
    <w:p>
      <w:pPr>
        <w:spacing w:after="160" w:line="300"/>
      </w:pPr>
      <w:r>
        <w:rPr>
          <w:rFonts w:ascii="Tenorite" w:cs="Tenorite" w:eastAsia="Tenorite" w:hAnsi="Tenorite"/>
          <w:color w:val="000000"/>
          <w:sz w:val="21"/>
          <w:szCs w:val="21"/>
        </w:rPr>
        <w:t xml:space="preserve">The screen-behaviour catalogue (screen-behaviour-catalogue.md) documents User Actions, Success/Failure Flow, Validation Flow, and Navigation Flow for all 213 screens, layered as a generic type-driven baseline (</w:t>
      </w:r>
      <w:r>
        <w:rPr>
          <w:rFonts w:ascii="Tenorite" w:cs="Tenorite" w:eastAsia="Tenorite" w:hAnsi="Tenorite"/>
          <w:color w:val="000000"/>
          <w:sz w:val="21"/>
          <w:szCs w:val="21"/>
        </w:rPr>
        <w:t xml:space="preserve">Inferred</w:t>
      </w:r>
      <w:r>
        <w:rPr>
          <w:rFonts w:ascii="Tenorite" w:cs="Tenorite" w:eastAsia="Tenorite" w:hAnsi="Tenorite"/>
          <w:color w:val="000000"/>
          <w:sz w:val="21"/>
          <w:szCs w:val="21"/>
        </w:rPr>
        <w:t xml:space="preserve">) plus specific evidenced exceptions (</w:t>
      </w:r>
      <w:r>
        <w:rPr>
          <w:rFonts w:ascii="Tenorite" w:cs="Tenorite" w:eastAsia="Tenorite" w:hAnsi="Tenorite"/>
          <w:color w:val="000000"/>
          <w:sz w:val="21"/>
          <w:szCs w:val="21"/>
        </w:rPr>
        <w:t xml:space="preserve">Explicit</w:t>
      </w:r>
      <w:r>
        <w:rPr>
          <w:rFonts w:ascii="Tenorite" w:cs="Tenorite" w:eastAsia="Tenorite" w:hAnsi="Tenorite"/>
          <w:color w:val="000000"/>
          <w:sz w:val="21"/>
          <w:szCs w:val="21"/>
        </w:rPr>
        <w:t xml:space="preserve">).</w:t>
      </w:r>
    </w:p>
    <w:p>
      <w:pPr>
        <w:spacing w:after="160" w:line="300"/>
      </w:pPr>
      <w:r>
        <w:rPr>
          <w:rFonts w:ascii="Tenorite" w:cs="Tenorite" w:eastAsia="Tenorite" w:hAnsi="Tenorite"/>
          <w:color w:val="000000"/>
          <w:sz w:val="21"/>
          <w:szCs w:val="21"/>
        </w:rPr>
        <w:t xml:space="preserve">The common </w:t>
      </w:r>
      <w:r>
        <w:rPr>
          <w:rFonts w:ascii="Tenorite" w:cs="Tenorite" w:eastAsia="Tenorite" w:hAnsi="Tenorite"/>
          <w:b/>
          <w:bCs/>
          <w:color w:val="000000"/>
          <w:sz w:val="21"/>
          <w:szCs w:val="21"/>
        </w:rPr>
        <w:t xml:space="preserve">Wizard</w:t>
      </w:r>
      <w:r>
        <w:rPr>
          <w:rFonts w:ascii="Tenorite" w:cs="Tenorite" w:eastAsia="Tenorite" w:hAnsi="Tenorite"/>
          <w:color w:val="000000"/>
          <w:sz w:val="21"/>
          <w:szCs w:val="21"/>
        </w:rPr>
        <w:t xml:space="preserve"> pattern (58 of 213 screens): mandatory fields pass validation → step shows a green checkmark/"Saved!" → Continue enables; Continue advances, Go Back returns, Abandon/Cancel exits with drafts persisted for resume.</w:t>
      </w:r>
    </w:p>
    <w:p>
      <w:pPr>
        <w:spacing w:after="160" w:line="300"/>
      </w:pPr>
      <w:r>
        <w:rPr>
          <w:rFonts w:ascii="Tenorite" w:cs="Tenorite" w:eastAsia="Tenorite" w:hAnsi="Tenorite"/>
          <w:color w:val="000000"/>
          <w:sz w:val="21"/>
          <w:szCs w:val="21"/>
        </w:rPr>
        <w:t xml:space="preserve">Concrete examples:</w:t>
      </w:r>
    </w:p>
    <w:p>
      <w:pPr>
        <w:pStyle w:val="ListParagraph"/>
        <w:numPr>
          <w:ilvl w:val="0"/>
          <w:numId w:val="1"/>
        </w:numPr>
        <w:spacing w:after="80"/>
      </w:pPr>
      <w:r>
        <w:rPr>
          <w:rFonts w:ascii="Tenorite" w:cs="Tenorite" w:eastAsia="Tenorite" w:hAnsi="Tenorite"/>
          <w:b/>
          <w:bCs/>
          <w:color w:val="000000"/>
          <w:sz w:val="21"/>
          <w:szCs w:val="21"/>
        </w:rPr>
        <w:t xml:space="preserve">SCR-078 (FWA Contact Step)</w:t>
      </w:r>
      <w:r>
        <w:rPr>
          <w:rFonts w:ascii="Tenorite" w:cs="Tenorite" w:eastAsia="Tenorite" w:hAnsi="Tenorite"/>
          <w:color w:val="000000"/>
          <w:sz w:val="21"/>
          <w:szCs w:val="21"/>
        </w:rPr>
        <w:t xml:space="preserve">: Qatari ID must resolve via a lookup ("Go") before a green check appears; email/alt-phone formats validate live; success yields a confirmed contact record; missing Supplementary Form triggers exception EXC-011.</w:t>
      </w:r>
    </w:p>
    <w:p>
      <w:pPr>
        <w:pStyle w:val="ListParagraph"/>
        <w:numPr>
          <w:ilvl w:val="0"/>
          <w:numId w:val="1"/>
        </w:numPr>
        <w:spacing w:after="80"/>
      </w:pPr>
      <w:r>
        <w:rPr>
          <w:rFonts w:ascii="Tenorite" w:cs="Tenorite" w:eastAsia="Tenorite" w:hAnsi="Tenorite"/>
          <w:b/>
          <w:bCs/>
          <w:color w:val="000000"/>
          <w:sz w:val="21"/>
          <w:szCs w:val="21"/>
        </w:rPr>
        <w:t xml:space="preserve">SCR-099 (SIM Serial Step, FWA)</w:t>
      </w:r>
      <w:r>
        <w:rPr>
          <w:rFonts w:ascii="Tenorite" w:cs="Tenorite" w:eastAsia="Tenorite" w:hAnsi="Tenorite"/>
          <w:color w:val="000000"/>
          <w:sz w:val="21"/>
          <w:szCs w:val="21"/>
        </w:rPr>
        <w:t xml:space="preserve">: SIM Serial must be exactly 19 digits and unassigned in UIM; CPE serial must be free in UIM; failures map to exceptions EXC-005–EXC-010 (not found / already assigned / not free).</w:t>
      </w:r>
    </w:p>
    <w:p>
      <w:pPr>
        <w:pStyle w:val="ListParagraph"/>
        <w:numPr>
          <w:ilvl w:val="0"/>
          <w:numId w:val="1"/>
        </w:numPr>
        <w:spacing w:after="80"/>
      </w:pPr>
      <w:r>
        <w:rPr>
          <w:rFonts w:ascii="Tenorite" w:cs="Tenorite" w:eastAsia="Tenorite" w:hAnsi="Tenorite"/>
          <w:b/>
          <w:bCs/>
          <w:color w:val="000000"/>
          <w:sz w:val="21"/>
          <w:szCs w:val="21"/>
        </w:rPr>
        <w:t xml:space="preserve">SCR-083 (Book Appointment Step)</w:t>
      </w:r>
      <w:r>
        <w:rPr>
          <w:rFonts w:ascii="Tenorite" w:cs="Tenorite" w:eastAsia="Tenorite" w:hAnsi="Tenorite"/>
          <w:color w:val="000000"/>
          <w:sz w:val="21"/>
          <w:szCs w:val="21"/>
        </w:rPr>
        <w:t xml:space="preserve">: user picks Cluster/date/time slot; some slots are disabled by availability; success yields an Appointment ID — but the booking cannot be cancelled once submitted.</w:t>
      </w:r>
    </w:p>
    <w:p>
      <w:pPr>
        <w:spacing w:after="160" w:line="300"/>
      </w:pPr>
      <w:r>
        <w:rPr>
          <w:rFonts w:ascii="Tenorite" w:cs="Tenorite" w:eastAsia="Tenorite" w:hAnsi="Tenorite"/>
          <w:color w:val="000000"/>
          <w:sz w:val="21"/>
          <w:szCs w:val="21"/>
        </w:rPr>
        <w:t xml:space="preserve">(screen-behaviour-catalogue.md)</w:t>
      </w:r>
    </w:p>
    <w:p>
      <w:pPr>
        <w:pStyle w:val="Heading2"/>
        <w:spacing w:after="120" w:before="260"/>
      </w:pPr>
      <w:r>
        <w:t xml:space="preserve">6. Worked Hierarchy Example: Fixed Line / Fibre</w:t>
      </w:r>
    </w:p>
    <w:p>
      <w:pPr>
        <w:spacing w:after="160" w:line="300"/>
      </w:pPr>
      <w:r>
        <w:rPr>
          <w:rFonts w:ascii="Tenorite" w:cs="Tenorite" w:eastAsia="Tenorite" w:hAnsi="Tenorite"/>
          <w:color w:val="000000"/>
          <w:sz w:val="21"/>
          <w:szCs w:val="21"/>
        </w:rPr>
        <w:t xml:space="preserve">To show the full Module → Sub-Module → Feature → Capability drill-down concretely (module-hierarchy.md):</w:t>
      </w:r>
    </w:p>
    <w:p>
      <w:pPr>
        <w:spacing w:after="160" w:line="300"/>
      </w:pPr>
      <w:r>
        <w:rPr>
          <w:rFonts w:ascii="Tenorite" w:cs="Tenorite" w:eastAsia="Tenorite" w:hAnsi="Tenorite"/>
          <w:b/>
          <w:bCs/>
          <w:color w:val="000000"/>
          <w:sz w:val="21"/>
          <w:szCs w:val="21"/>
        </w:rPr>
        <w:t xml:space="preserve">Module: Fixed Line / Fibre</w:t>
      </w:r>
    </w:p>
    <w:p>
      <w:pPr>
        <w:pStyle w:val="ListParagraph"/>
        <w:numPr>
          <w:ilvl w:val="0"/>
          <w:numId w:val="1"/>
        </w:numPr>
        <w:spacing w:after="80"/>
      </w:pPr>
      <w:r>
        <w:rPr>
          <w:rFonts w:ascii="Tenorite" w:cs="Tenorite" w:eastAsia="Tenorite" w:hAnsi="Tenorite"/>
          <w:b/>
          <w:bCs/>
          <w:color w:val="000000"/>
          <w:sz w:val="21"/>
          <w:szCs w:val="21"/>
        </w:rPr>
        <w:t xml:space="preserve">Sub-Module: Fixed Line Activation</w:t>
      </w:r>
      <w:r>
        <w:rPr>
          <w:rFonts w:ascii="Tenorite" w:cs="Tenorite" w:eastAsia="Tenorite" w:hAnsi="Tenorite"/>
          <w:color w:val="000000"/>
          <w:sz w:val="21"/>
          <w:szCs w:val="21"/>
        </w:rPr>
        <w:t xml:space="preserve"> → Feature: New Fixed Line / Broadband Order Creation → capabilities: two-phase order completion; tablet-only instant activation with device-serial verification; back-office fulfilment variant skipping attachments; prepatched-device detection (Instant vs. Normal Activation); IPTV bundled by default (removable); fibre-precedence rule; CNAP support (25-char limit).</w:t>
      </w:r>
    </w:p>
    <w:p>
      <w:pPr>
        <w:pStyle w:val="ListParagraph"/>
        <w:numPr>
          <w:ilvl w:val="0"/>
          <w:numId w:val="1"/>
        </w:numPr>
        <w:spacing w:after="80"/>
      </w:pPr>
      <w:r>
        <w:rPr>
          <w:rFonts w:ascii="Tenorite" w:cs="Tenorite" w:eastAsia="Tenorite" w:hAnsi="Tenorite"/>
          <w:b/>
          <w:bCs/>
          <w:color w:val="000000"/>
          <w:sz w:val="21"/>
          <w:szCs w:val="21"/>
        </w:rPr>
        <w:t xml:space="preserve">Sub-Module: Digital Self-Service Fiber</w:t>
      </w:r>
      <w:r>
        <w:rPr>
          <w:rFonts w:ascii="Tenorite" w:cs="Tenorite" w:eastAsia="Tenorite" w:hAnsi="Tenorite"/>
          <w:color w:val="000000"/>
          <w:sz w:val="21"/>
          <w:szCs w:val="21"/>
        </w:rPr>
        <w:t xml:space="preserve"> → Feature: Digital Fiber Self-Service Activation → capabilities: Phase 1 self-service (Combo Box/CPE or 5G); eKYC (ID scan + selfie); eSign requirement; CPE/ONT vs. 5G routing rule; single-scrolling-flow design; OCR-enhanced ID scan.</w:t>
      </w:r>
    </w:p>
    <w:p>
      <w:pPr>
        <w:pStyle w:val="ListParagraph"/>
        <w:numPr>
          <w:ilvl w:val="0"/>
          <w:numId w:val="1"/>
        </w:numPr>
        <w:spacing w:after="80"/>
      </w:pPr>
      <w:r>
        <w:rPr>
          <w:rFonts w:ascii="Tenorite" w:cs="Tenorite" w:eastAsia="Tenorite" w:hAnsi="Tenorite"/>
          <w:b/>
          <w:bCs/>
          <w:color w:val="000000"/>
          <w:sz w:val="21"/>
          <w:szCs w:val="21"/>
        </w:rPr>
        <w:t xml:space="preserve">Sub-Module: Fixed Line Migration &amp; Termination</w:t>
      </w:r>
      <w:r>
        <w:rPr>
          <w:rFonts w:ascii="Tenorite" w:cs="Tenorite" w:eastAsia="Tenorite" w:hAnsi="Tenorite"/>
          <w:color w:val="000000"/>
          <w:sz w:val="21"/>
          <w:szCs w:val="21"/>
        </w:rPr>
        <w:t xml:space="preserve"> → Feature: Migration/FWA-to-Fiber/Termination → capabilities: eligibility/verification/WFM appointment; mandatory fibre migration within 4 weeks of availability; disconnection on declined migration.</w:t>
      </w:r>
    </w:p>
    <w:p>
      <w:pPr>
        <w:pStyle w:val="ListParagraph"/>
        <w:numPr>
          <w:ilvl w:val="0"/>
          <w:numId w:val="1"/>
        </w:numPr>
        <w:spacing w:after="80"/>
      </w:pPr>
      <w:r>
        <w:rPr>
          <w:rFonts w:ascii="Tenorite" w:cs="Tenorite" w:eastAsia="Tenorite" w:hAnsi="Tenorite"/>
          <w:b/>
          <w:bCs/>
          <w:color w:val="000000"/>
          <w:sz w:val="21"/>
          <w:szCs w:val="21"/>
        </w:rPr>
        <w:t xml:space="preserve">Sub-Module: Fixed-Line Exception Handling</w:t>
      </w:r>
      <w:r>
        <w:rPr>
          <w:rFonts w:ascii="Tenorite" w:cs="Tenorite" w:eastAsia="Tenorite" w:hAnsi="Tenorite"/>
          <w:color w:val="000000"/>
          <w:sz w:val="21"/>
          <w:szCs w:val="21"/>
        </w:rPr>
        <w:t xml:space="preserve"> → Feature: Order/Installation Exception Handling → capabilities: KID-in-use handling; splitter-full/BID-not-mapped exceptions; club-eligibility checks consolidated early.</w:t>
      </w:r>
    </w:p>
    <w:p>
      <w:pPr>
        <w:pStyle w:val="ListParagraph"/>
        <w:numPr>
          <w:ilvl w:val="0"/>
          <w:numId w:val="1"/>
        </w:numPr>
        <w:spacing w:after="80"/>
      </w:pPr>
      <w:r>
        <w:rPr>
          <w:rFonts w:ascii="Tenorite" w:cs="Tenorite" w:eastAsia="Tenorite" w:hAnsi="Tenorite"/>
          <w:b/>
          <w:bCs/>
          <w:color w:val="000000"/>
          <w:sz w:val="21"/>
          <w:szCs w:val="21"/>
        </w:rPr>
        <w:t xml:space="preserve">Sub-Module: Address &amp; Service Feasibility</w:t>
      </w:r>
      <w:r>
        <w:rPr>
          <w:rFonts w:ascii="Tenorite" w:cs="Tenorite" w:eastAsia="Tenorite" w:hAnsi="Tenorite"/>
          <w:color w:val="000000"/>
          <w:sz w:val="21"/>
          <w:szCs w:val="21"/>
        </w:rPr>
        <w:t xml:space="preserve"> → Feature: Installation Address and RFS Management → capabilities: cascading zone/street/building selection; address lock after RFS check; RFS data flow from IMS downstream.</w:t>
      </w:r>
    </w:p>
    <w:p>
      <w:pPr>
        <w:pStyle w:val="ListParagraph"/>
        <w:numPr>
          <w:ilvl w:val="0"/>
          <w:numId w:val="1"/>
        </w:numPr>
        <w:spacing w:after="80"/>
      </w:pPr>
      <w:r>
        <w:rPr>
          <w:rFonts w:ascii="Tenorite" w:cs="Tenorite" w:eastAsia="Tenorite" w:hAnsi="Tenorite"/>
          <w:b/>
          <w:bCs/>
          <w:color w:val="000000"/>
          <w:sz w:val="21"/>
          <w:szCs w:val="21"/>
        </w:rPr>
        <w:t xml:space="preserve">Sub-Module: GigaHome / OSNtv Subscription</w:t>
      </w:r>
      <w:r>
        <w:rPr>
          <w:rFonts w:ascii="Tenorite" w:cs="Tenorite" w:eastAsia="Tenorite" w:hAnsi="Tenorite"/>
          <w:color w:val="000000"/>
          <w:sz w:val="21"/>
          <w:szCs w:val="21"/>
        </w:rPr>
        <w:t xml:space="preserve"> → Feature: GigaHome/OSNtv Lifecycle Management → capabilities: subscription acceptance/lifecycle; v3 sign-off form before activation.</w:t>
      </w:r>
    </w:p>
    <w:p>
      <w:pPr>
        <w:pStyle w:val="ListParagraph"/>
        <w:numPr>
          <w:ilvl w:val="0"/>
          <w:numId w:val="1"/>
        </w:numPr>
        <w:spacing w:after="80"/>
      </w:pPr>
      <w:r>
        <w:rPr>
          <w:rFonts w:ascii="Tenorite" w:cs="Tenorite" w:eastAsia="Tenorite" w:hAnsi="Tenorite"/>
          <w:b/>
          <w:bCs/>
          <w:color w:val="000000"/>
          <w:sz w:val="21"/>
          <w:szCs w:val="21"/>
        </w:rPr>
        <w:t xml:space="preserve">Sub-Module: Home Move</w:t>
      </w:r>
      <w:r>
        <w:rPr>
          <w:rFonts w:ascii="Tenorite" w:cs="Tenorite" w:eastAsia="Tenorite" w:hAnsi="Tenorite"/>
          <w:color w:val="000000"/>
          <w:sz w:val="21"/>
          <w:szCs w:val="21"/>
        </w:rPr>
        <w:t xml:space="preserve"> → Feature: Home Move Case Handling → capabilities: Kahramaa duplicate-installation check; fiber-readiness (KID lookup) at destination; free first-time-mover eligibility.</w:t>
      </w:r>
    </w:p>
    <w:p>
      <w:pPr>
        <w:pStyle w:val="ListParagraph"/>
        <w:numPr>
          <w:ilvl w:val="0"/>
          <w:numId w:val="1"/>
        </w:numPr>
        <w:spacing w:after="80"/>
      </w:pPr>
      <w:r>
        <w:rPr>
          <w:rFonts w:ascii="Tenorite" w:cs="Tenorite" w:eastAsia="Tenorite" w:hAnsi="Tenorite"/>
          <w:b/>
          <w:bCs/>
          <w:color w:val="000000"/>
          <w:sz w:val="21"/>
          <w:szCs w:val="21"/>
        </w:rPr>
        <w:t xml:space="preserve">Sub-Module: Supplementary &amp; Consumer Forms</w:t>
      </w:r>
      <w:r>
        <w:rPr>
          <w:rFonts w:ascii="Tenorite" w:cs="Tenorite" w:eastAsia="Tenorite" w:hAnsi="Tenorite"/>
          <w:color w:val="000000"/>
          <w:sz w:val="21"/>
          <w:szCs w:val="21"/>
        </w:rPr>
        <w:t xml:space="preserve"> → Feature: Digitalized Supplementary/Consumer Forms → capabilities: Vodafone Fibre Supplementary Form for Home Fibre; digitalized consumer application forms; channel-dependent signature capture.</w:t>
      </w:r>
    </w:p>
    <w:p>
      <w:pPr>
        <w:spacing w:after="160" w:line="300"/>
      </w:pPr>
      <w:r>
        <w:rPr>
          <w:rFonts w:ascii="Tenorite" w:cs="Tenorite" w:eastAsia="Tenorite" w:hAnsi="Tenorite"/>
          <w:color w:val="000000"/>
          <w:sz w:val="21"/>
          <w:szCs w:val="21"/>
        </w:rPr>
        <w:t xml:space="preserve">This module spans 8 sub-modules, 8 features, and roughly 60 capabilities, correspondingly owning the largest share of the sitemap at 49 of 213 screens (module-hierarchy.md; platform-sitemap.md).</w:t>
      </w:r>
    </w:p>
    <w:p>
      <w:r>
        <w:br w:type="page"/>
      </w:r>
    </w:p>
    <w:p>
      <w:pPr>
        <w:pStyle w:val="Heading1"/>
        <w:spacing w:after="160" w:before="320"/>
      </w:pPr>
      <w:r>
        <w:t xml:space="preserve">Personas &amp; Roles</w:t>
      </w:r>
    </w:p>
    <w:p>
      <w:pPr>
        <w:pStyle w:val="Heading2"/>
        <w:spacing w:after="120" w:before="260"/>
      </w:pPr>
      <w:r>
        <w:t xml:space="preserve">1. Persona Overview</w:t>
      </w:r>
    </w:p>
    <w:p>
      <w:pPr>
        <w:spacing w:after="160" w:line="300"/>
      </w:pPr>
      <w:r>
        <w:rPr>
          <w:rFonts w:ascii="Tenorite" w:cs="Tenorite" w:eastAsia="Tenorite" w:hAnsi="Tenorite"/>
          <w:color w:val="000000"/>
          <w:sz w:val="21"/>
          <w:szCs w:val="21"/>
        </w:rPr>
        <w:t xml:space="preserve">The reconstruction identifies </w:t>
      </w:r>
      <w:r>
        <w:rPr>
          <w:rFonts w:ascii="Tenorite" w:cs="Tenorite" w:eastAsia="Tenorite" w:hAnsi="Tenorite"/>
          <w:b/>
          <w:bCs/>
          <w:color w:val="000000"/>
          <w:sz w:val="21"/>
          <w:szCs w:val="21"/>
        </w:rPr>
        <w:t xml:space="preserve">66 canonical personas</w:t>
      </w:r>
      <w:r>
        <w:rPr>
          <w:rFonts w:ascii="Tenorite" w:cs="Tenorite" w:eastAsia="Tenorite" w:hAnsi="Tenorite"/>
          <w:color w:val="000000"/>
          <w:sz w:val="21"/>
          <w:szCs w:val="21"/>
        </w:rPr>
        <w:t xml:space="preserve"> (deduplicated from 115 raw mentions across an 83-document source corpus of workshops, guided-journey walkthroughs, and BRSDs). Confidence is </w:t>
      </w:r>
      <w:r>
        <w:rPr>
          <w:rFonts w:ascii="Tenorite" w:cs="Tenorite" w:eastAsia="Tenorite" w:hAnsi="Tenorite"/>
          <w:color w:val="000000"/>
          <w:sz w:val="21"/>
          <w:szCs w:val="21"/>
        </w:rPr>
        <w:t xml:space="preserve">high</w:t>
      </w:r>
      <w:r>
        <w:rPr>
          <w:rFonts w:ascii="Tenorite" w:cs="Tenorite" w:eastAsia="Tenorite" w:hAnsi="Tenorite"/>
          <w:color w:val="000000"/>
          <w:sz w:val="21"/>
          <w:szCs w:val="21"/>
        </w:rPr>
        <w:t xml:space="preserve"> for 56 personas and </w:t>
      </w:r>
      <w:r>
        <w:rPr>
          <w:rFonts w:ascii="Tenorite" w:cs="Tenorite" w:eastAsia="Tenorite" w:hAnsi="Tenorite"/>
          <w:color w:val="000000"/>
          <w:sz w:val="21"/>
          <w:szCs w:val="21"/>
        </w:rPr>
        <w:t xml:space="preserve">medium</w:t>
      </w:r>
      <w:r>
        <w:rPr>
          <w:rFonts w:ascii="Tenorite" w:cs="Tenorite" w:eastAsia="Tenorite" w:hAnsi="Tenorite"/>
          <w:color w:val="000000"/>
          <w:sz w:val="21"/>
          <w:szCs w:val="21"/>
        </w:rPr>
        <w:t xml:space="preserve"> for 10 (none </w:t>
      </w:r>
      <w:r>
        <w:rPr>
          <w:rFonts w:ascii="Tenorite" w:cs="Tenorite" w:eastAsia="Tenorite" w:hAnsi="Tenorite"/>
          <w:color w:val="000000"/>
          <w:sz w:val="21"/>
          <w:szCs w:val="21"/>
        </w:rPr>
        <w:t xml:space="preserve">low</w:t>
      </w:r>
      <w:r>
        <w:rPr>
          <w:rFonts w:ascii="Tenorite" w:cs="Tenorite" w:eastAsia="Tenorite" w:hAnsi="Tenorite"/>
          <w:color w:val="000000"/>
          <w:sz w:val="21"/>
          <w:szCs w:val="21"/>
        </w:rPr>
        <w:t xml:space="preserve">); classification is </w:t>
      </w:r>
      <w:r>
        <w:rPr>
          <w:rFonts w:ascii="Tenorite" w:cs="Tenorite" w:eastAsia="Tenorite" w:hAnsi="Tenorite"/>
          <w:color w:val="000000"/>
          <w:sz w:val="21"/>
          <w:szCs w:val="21"/>
        </w:rPr>
        <w:t xml:space="preserve">Explicit</w:t>
      </w:r>
      <w:r>
        <w:rPr>
          <w:rFonts w:ascii="Tenorite" w:cs="Tenorite" w:eastAsia="Tenorite" w:hAnsi="Tenorite"/>
          <w:color w:val="000000"/>
          <w:sz w:val="21"/>
          <w:szCs w:val="21"/>
        </w:rPr>
        <w:t xml:space="preserve"> for 64 and </w:t>
      </w:r>
      <w:r>
        <w:rPr>
          <w:rFonts w:ascii="Tenorite" w:cs="Tenorite" w:eastAsia="Tenorite" w:hAnsi="Tenorite"/>
          <w:color w:val="000000"/>
          <w:sz w:val="21"/>
          <w:szCs w:val="21"/>
        </w:rPr>
        <w:t xml:space="preserve">Inferred</w:t>
      </w:r>
      <w:r>
        <w:rPr>
          <w:rFonts w:ascii="Tenorite" w:cs="Tenorite" w:eastAsia="Tenorite" w:hAnsi="Tenorite"/>
          <w:color w:val="000000"/>
          <w:sz w:val="21"/>
          <w:szCs w:val="21"/>
        </w:rPr>
        <w:t xml:space="preserve"> for 2 (personas.md).</w:t>
      </w:r>
    </w:p>
    <w:p>
      <w:pPr>
        <w:spacing w:after="160" w:line="300"/>
      </w:pPr>
      <w:r>
        <w:rPr>
          <w:rFonts w:ascii="Tenorite" w:cs="Tenorite" w:eastAsia="Tenorite" w:hAnsi="Tenorite"/>
          <w:color w:val="000000"/>
          <w:sz w:val="21"/>
          <w:szCs w:val="21"/>
        </w:rPr>
        <w:t xml:space="preserve">The catalogue does not sort personas into a single formal taxonomy, but each entry carries a free-text </w:t>
      </w:r>
      <w:r>
        <w:rPr>
          <w:rFonts w:ascii="Tenorite" w:cs="Tenorite" w:eastAsia="Tenorite" w:hAnsi="Tenorite"/>
          <w:b/>
          <w:bCs/>
          <w:color w:val="000000"/>
          <w:sz w:val="21"/>
          <w:szCs w:val="21"/>
        </w:rPr>
        <w:t xml:space="preserve">Type</w:t>
      </w:r>
      <w:r>
        <w:rPr>
          <w:rFonts w:ascii="Tenorite" w:cs="Tenorite" w:eastAsia="Tenorite" w:hAnsi="Tenorite"/>
          <w:color w:val="000000"/>
          <w:sz w:val="21"/>
          <w:szCs w:val="21"/>
        </w:rPr>
        <w:t xml:space="preserve"> field that functions as an informal grouping. Recurring types include: front-line sales/retail, back-office order processing, enterprise sales/relationship, finance/risk (credit control), management/approval (DOA hierarchy), field/installation, internal delivery-team/governance stakeholders, external enterprise contacts (chooser, payment support, technical contact), external systems/authorities (MOI, donor operators), and system/automated accounts (e.g. </w:t>
      </w:r>
      <w:r>
        <w:rPr>
          <w:rFonts w:ascii="Tenorite" w:cs="Tenorite" w:eastAsia="Tenorite" w:hAnsi="Tenorite"/>
          <w:color w:val="000000"/>
          <w:sz w:val="21"/>
          <w:szCs w:val="21"/>
        </w:rPr>
        <w:t xml:space="preserve">SADMIN</w:t>
      </w:r>
      <w:r>
        <w:rPr>
          <w:rFonts w:ascii="Tenorite" w:cs="Tenorite" w:eastAsia="Tenorite" w:hAnsi="Tenorite"/>
          <w:color w:val="000000"/>
          <w:sz w:val="21"/>
          <w:szCs w:val="21"/>
        </w:rPr>
        <w:t xml:space="preserve">). In effect this spans </w:t>
      </w:r>
      <w:r>
        <w:rPr>
          <w:rFonts w:ascii="Tenorite" w:cs="Tenorite" w:eastAsia="Tenorite" w:hAnsi="Tenorite"/>
          <w:b/>
          <w:bCs/>
          <w:color w:val="000000"/>
          <w:sz w:val="21"/>
          <w:szCs w:val="21"/>
        </w:rPr>
        <w:t xml:space="preserve">internal vs. external</w:t>
      </w:r>
      <w:r>
        <w:rPr>
          <w:rFonts w:ascii="Tenorite" w:cs="Tenorite" w:eastAsia="Tenorite" w:hAnsi="Tenorite"/>
          <w:color w:val="000000"/>
          <w:sz w:val="21"/>
          <w:szCs w:val="21"/>
        </w:rPr>
        <w:t xml:space="preserve"> (e.g. PERSONA-016 Donor Operator, PERSONA-029 MOI, PERSONA-052 Offshore Retailer are external; most others are internal Vodafone Qatar staff or systems) and </w:t>
      </w:r>
      <w:r>
        <w:rPr>
          <w:rFonts w:ascii="Tenorite" w:cs="Tenorite" w:eastAsia="Tenorite" w:hAnsi="Tenorite"/>
          <w:b/>
          <w:bCs/>
          <w:color w:val="000000"/>
          <w:sz w:val="21"/>
          <w:szCs w:val="21"/>
        </w:rPr>
        <w:t xml:space="preserve">channel</w:t>
      </w:r>
      <w:r>
        <w:rPr>
          <w:rFonts w:ascii="Tenorite" w:cs="Tenorite" w:eastAsia="Tenorite" w:hAnsi="Tenorite"/>
          <w:color w:val="000000"/>
          <w:sz w:val="21"/>
          <w:szCs w:val="21"/>
        </w:rPr>
        <w:t xml:space="preserve"> (retail/tablet, desktop/vanilla Siebel, DXP, offshore/VSA, self-service) (personas.md).</w:t>
      </w:r>
    </w:p>
    <w:p>
      <w:pPr>
        <w:pStyle w:val="Heading2"/>
        <w:spacing w:after="120" w:before="260"/>
      </w:pPr>
      <w:r>
        <w:t xml:space="preserve">2. Key Personas — Detail Cards</w:t>
      </w:r>
    </w:p>
    <w:p>
      <w:pPr>
        <w:spacing w:after="160" w:line="300"/>
      </w:pPr>
      <w:r>
        <w:rPr>
          <w:rFonts w:ascii="Tenorite" w:cs="Tenorite" w:eastAsia="Tenorite" w:hAnsi="Tenorite"/>
          <w:b/>
          <w:bCs/>
          <w:color w:val="000000"/>
          <w:sz w:val="21"/>
          <w:szCs w:val="21"/>
        </w:rPr>
        <w:t xml:space="preserve">PERSONA-001: Retail/Sales Agent (Frontline/Cross-Sell/Front-Office)</w:t>
      </w:r>
      <w:r>
        <w:rPr>
          <w:rFonts w:ascii="Tenorite" w:cs="Tenorite" w:eastAsia="Tenorite" w:hAnsi="Tenorite"/>
          <w:color w:val="000000"/>
          <w:sz w:val="21"/>
          <w:szCs w:val="21"/>
        </w:rPr>
        <w:t xml:space="preserve"> — </w:t>
      </w:r>
      <w:r>
        <w:rPr>
          <w:rFonts w:ascii="Tenorite" w:cs="Tenorite" w:eastAsia="Tenorite" w:hAnsi="Tenorite"/>
          <w:color w:val="000000"/>
          <w:sz w:val="21"/>
          <w:szCs w:val="21"/>
        </w:rPr>
        <w:t xml:space="preserve">Explicit</w:t>
      </w:r>
      <w:r>
        <w:rPr>
          <w:rFonts w:ascii="Tenorite" w:cs="Tenorite" w:eastAsia="Tenorite" w:hAnsi="Tenorite"/>
          <w:color w:val="000000"/>
          <w:sz w:val="21"/>
          <w:szCs w:val="21"/>
        </w:rPr>
        <w:t xml:space="preserve">, </w:t>
      </w:r>
      <w:r>
        <w:rPr>
          <w:rFonts w:ascii="Tenorite" w:cs="Tenorite" w:eastAsia="Tenorite" w:hAnsi="Tenorite"/>
          <w:color w:val="000000"/>
          <w:sz w:val="21"/>
          <w:szCs w:val="21"/>
        </w:rPr>
        <w:t xml:space="preserve">high</w:t>
      </w:r>
      <w:r>
        <w:rPr>
          <w:rFonts w:ascii="Tenorite" w:cs="Tenorite" w:eastAsia="Tenorite" w:hAnsi="Tenorite"/>
          <w:color w:val="000000"/>
          <w:sz w:val="21"/>
          <w:szCs w:val="21"/>
        </w:rPr>
        <w:t xml:space="preserve"> confidence. The most heavily evidenced persona (20 RBAC entries). Closes retail deals; scans QID and performs Kahramaa ID lookup; runs the New Fixed Line/FWA/Postpaid/Prepaid/MNP guided wizards on desktop and tablet (contact, address, plan, number selection, appointment, CAF signature); builds sales orders and generates the CAF. Key permission boundary: can edit Smart Limit/Bill Limit down to, but not below, an "Agent Minimum Value" threshold without a System Administrator override, and cannot manually key in ID/KID details — only re-scan or search. Central to the New Fixed Line and Cross Sales journeys (personas.md, PERSONA-001; rbac-matrix.md, RBAC-001–RBAC-020).</w:t>
      </w:r>
    </w:p>
    <w:p>
      <w:pPr>
        <w:spacing w:after="160" w:line="300"/>
      </w:pPr>
      <w:r>
        <w:rPr>
          <w:rFonts w:ascii="Tenorite" w:cs="Tenorite" w:eastAsia="Tenorite" w:hAnsi="Tenorite"/>
          <w:b/>
          <w:bCs/>
          <w:color w:val="000000"/>
          <w:sz w:val="21"/>
          <w:szCs w:val="21"/>
        </w:rPr>
        <w:t xml:space="preserve">PERSONA-002: Account Manager</w:t>
      </w:r>
      <w:r>
        <w:rPr>
          <w:rFonts w:ascii="Tenorite" w:cs="Tenorite" w:eastAsia="Tenorite" w:hAnsi="Tenorite"/>
          <w:color w:val="000000"/>
          <w:sz w:val="21"/>
          <w:szCs w:val="21"/>
        </w:rPr>
        <w:t xml:space="preserve"> — </w:t>
      </w:r>
      <w:r>
        <w:rPr>
          <w:rFonts w:ascii="Tenorite" w:cs="Tenorite" w:eastAsia="Tenorite" w:hAnsi="Tenorite"/>
          <w:color w:val="000000"/>
          <w:sz w:val="21"/>
          <w:szCs w:val="21"/>
        </w:rPr>
        <w:t xml:space="preserve">Explicit</w:t>
      </w:r>
      <w:r>
        <w:rPr>
          <w:rFonts w:ascii="Tenorite" w:cs="Tenorite" w:eastAsia="Tenorite" w:hAnsi="Tenorite"/>
          <w:color w:val="000000"/>
          <w:sz w:val="21"/>
          <w:szCs w:val="21"/>
        </w:rPr>
        <w:t xml:space="preserve">, </w:t>
      </w:r>
      <w:r>
        <w:rPr>
          <w:rFonts w:ascii="Tenorite" w:cs="Tenorite" w:eastAsia="Tenorite" w:hAnsi="Tenorite"/>
          <w:color w:val="000000"/>
          <w:sz w:val="21"/>
          <w:szCs w:val="21"/>
        </w:rPr>
        <w:t xml:space="preserve">medium</w:t>
      </w:r>
      <w:r>
        <w:rPr>
          <w:rFonts w:ascii="Tenorite" w:cs="Tenorite" w:eastAsia="Tenorite" w:hAnsi="Tenorite"/>
          <w:color w:val="000000"/>
          <w:sz w:val="21"/>
          <w:szCs w:val="21"/>
        </w:rPr>
        <w:t xml:space="preserve"> confidence. Enterprise relationship owner who closes deals and approves discounts through the EBU hierarchy in MS Dynamics. Notably, this persona has </w:t>
      </w:r>
      <w:r>
        <w:rPr>
          <w:rFonts w:ascii="Tenorite" w:cs="Tenorite" w:eastAsia="Tenorite" w:hAnsi="Tenorite"/>
          <w:b/>
          <w:bCs/>
          <w:color w:val="000000"/>
          <w:sz w:val="21"/>
          <w:szCs w:val="21"/>
        </w:rPr>
        <w:t xml:space="preserve">no CRM access</w:t>
      </w:r>
      <w:r>
        <w:rPr>
          <w:rFonts w:ascii="Tenorite" w:cs="Tenorite" w:eastAsia="Tenorite" w:hAnsi="Tenorite"/>
          <w:color w:val="000000"/>
          <w:sz w:val="21"/>
          <w:szCs w:val="21"/>
        </w:rPr>
        <w:t xml:space="preserve"> at all — service requests are routed instead through the "117" support channel. Approves account-affiliation forms, which is what actually grants a sub-account Web Self-Care privileges (personas.md, PERSONA-002; rbac-matrix.md, RBAC-021–022).</w:t>
      </w:r>
    </w:p>
    <w:p>
      <w:pPr>
        <w:spacing w:after="160" w:line="300"/>
      </w:pPr>
      <w:r>
        <w:rPr>
          <w:rFonts w:ascii="Tenorite" w:cs="Tenorite" w:eastAsia="Tenorite" w:hAnsi="Tenorite"/>
          <w:b/>
          <w:bCs/>
          <w:color w:val="000000"/>
          <w:sz w:val="21"/>
          <w:szCs w:val="21"/>
        </w:rPr>
        <w:t xml:space="preserve">PERSONA-004 / PERSONA-005: Fulfilment Agent(s)</w:t>
      </w:r>
      <w:r>
        <w:rPr>
          <w:rFonts w:ascii="Tenorite" w:cs="Tenorite" w:eastAsia="Tenorite" w:hAnsi="Tenorite"/>
          <w:color w:val="000000"/>
          <w:sz w:val="21"/>
          <w:szCs w:val="21"/>
        </w:rPr>
        <w:t xml:space="preserve"> — </w:t>
      </w:r>
      <w:r>
        <w:rPr>
          <w:rFonts w:ascii="Tenorite" w:cs="Tenorite" w:eastAsia="Tenorite" w:hAnsi="Tenorite"/>
          <w:color w:val="000000"/>
          <w:sz w:val="21"/>
          <w:szCs w:val="21"/>
        </w:rPr>
        <w:t xml:space="preserve">medium</w:t>
      </w:r>
      <w:r>
        <w:rPr>
          <w:rFonts w:ascii="Tenorite" w:cs="Tenorite" w:eastAsia="Tenorite" w:hAnsi="Tenorite"/>
          <w:color w:val="000000"/>
          <w:sz w:val="21"/>
          <w:szCs w:val="21"/>
        </w:rPr>
        <w:t xml:space="preserve">/</w:t>
      </w:r>
      <w:r>
        <w:rPr>
          <w:rFonts w:ascii="Tenorite" w:cs="Tenorite" w:eastAsia="Tenorite" w:hAnsi="Tenorite"/>
          <w:color w:val="000000"/>
          <w:sz w:val="21"/>
          <w:szCs w:val="21"/>
        </w:rPr>
        <w:t xml:space="preserve">high</w:t>
      </w:r>
      <w:r>
        <w:rPr>
          <w:rFonts w:ascii="Tenorite" w:cs="Tenorite" w:eastAsia="Tenorite" w:hAnsi="Tenorite"/>
          <w:color w:val="000000"/>
          <w:sz w:val="21"/>
          <w:szCs w:val="21"/>
        </w:rPr>
        <w:t xml:space="preserve"> confidence. Back-office roles that validate and create orders in Siebel for MNP/FNP/enterprise cases, select plan and porting details, and own the "ECR Details" field on order forms — explicitly marked in the UI as "to be filled by Fulfillment team only," meaning front-line retail agents are blocked from it. PERSONA-005 specifically logs in under the Siebel "Back Office Fulfilment" responsibility and runs the New Fixed Line wizard through to CAF/order generation (personas.md, PERSONA-004, PERSONA-005).</w:t>
      </w:r>
    </w:p>
    <w:p>
      <w:pPr>
        <w:spacing w:after="160" w:line="300"/>
      </w:pPr>
      <w:r>
        <w:rPr>
          <w:rFonts w:ascii="Tenorite" w:cs="Tenorite" w:eastAsia="Tenorite" w:hAnsi="Tenorite"/>
          <w:b/>
          <w:bCs/>
          <w:color w:val="000000"/>
          <w:sz w:val="21"/>
          <w:szCs w:val="21"/>
        </w:rPr>
        <w:t xml:space="preserve">PERSONA-006: Credit Control / Collection &amp; Credit Control</w:t>
      </w:r>
      <w:r>
        <w:rPr>
          <w:rFonts w:ascii="Tenorite" w:cs="Tenorite" w:eastAsia="Tenorite" w:hAnsi="Tenorite"/>
          <w:color w:val="000000"/>
          <w:sz w:val="21"/>
          <w:szCs w:val="21"/>
        </w:rPr>
        <w:t xml:space="preserve"> — </w:t>
      </w:r>
      <w:r>
        <w:rPr>
          <w:rFonts w:ascii="Tenorite" w:cs="Tenorite" w:eastAsia="Tenorite" w:hAnsi="Tenorite"/>
          <w:color w:val="000000"/>
          <w:sz w:val="21"/>
          <w:szCs w:val="21"/>
        </w:rPr>
        <w:t xml:space="preserve">high</w:t>
      </w:r>
      <w:r>
        <w:rPr>
          <w:rFonts w:ascii="Tenorite" w:cs="Tenorite" w:eastAsia="Tenorite" w:hAnsi="Tenorite"/>
          <w:color w:val="000000"/>
          <w:sz w:val="21"/>
          <w:szCs w:val="21"/>
        </w:rPr>
        <w:t xml:space="preserve"> confidence responsibilities (billing-in-advance/arrears/hybrid flags, credit-term approval, outstanding-dues thresholds) but </w:t>
      </w:r>
      <w:r>
        <w:rPr>
          <w:rFonts w:ascii="Tenorite" w:cs="Tenorite" w:eastAsia="Tenorite" w:hAnsi="Tenorite"/>
          <w:b/>
          <w:bCs/>
          <w:color w:val="000000"/>
          <w:sz w:val="21"/>
          <w:szCs w:val="21"/>
        </w:rPr>
        <w:t xml:space="preserve">zero evidenced screen/action access</w:t>
      </w:r>
      <w:r>
        <w:rPr>
          <w:rFonts w:ascii="Tenorite" w:cs="Tenorite" w:eastAsia="Tenorite" w:hAnsi="Tenorite"/>
          <w:color w:val="000000"/>
          <w:sz w:val="21"/>
          <w:szCs w:val="21"/>
        </w:rPr>
        <w:t xml:space="preserve"> in the RBAC normalization — its RBAC entry is </w:t>
      </w:r>
      <w:r>
        <w:rPr>
          <w:rFonts w:ascii="Tenorite" w:cs="Tenorite" w:eastAsia="Tenorite" w:hAnsi="Tenorite"/>
          <w:color w:val="000000"/>
          <w:sz w:val="21"/>
          <w:szCs w:val="21"/>
        </w:rPr>
        <w:t xml:space="preserve">Restricted-No-Access</w:t>
      </w:r>
      <w:r>
        <w:rPr>
          <w:rFonts w:ascii="Tenorite" w:cs="Tenorite" w:eastAsia="Tenorite" w:hAnsi="Tenorite"/>
          <w:color w:val="000000"/>
          <w:sz w:val="21"/>
          <w:szCs w:val="21"/>
        </w:rPr>
        <w:t xml:space="preserve">/</w:t>
      </w:r>
      <w:r>
        <w:rPr>
          <w:rFonts w:ascii="Tenorite" w:cs="Tenorite" w:eastAsia="Tenorite" w:hAnsi="Tenorite"/>
          <w:color w:val="000000"/>
          <w:sz w:val="21"/>
          <w:szCs w:val="21"/>
        </w:rPr>
        <w:t xml:space="preserve">Assumed</w:t>
      </w:r>
      <w:r>
        <w:rPr>
          <w:rFonts w:ascii="Tenorite" w:cs="Tenorite" w:eastAsia="Tenorite" w:hAnsi="Tenorite"/>
          <w:color w:val="000000"/>
          <w:sz w:val="21"/>
          <w:szCs w:val="21"/>
        </w:rPr>
        <w:t xml:space="preserve">/</w:t>
      </w:r>
      <w:r>
        <w:rPr>
          <w:rFonts w:ascii="Tenorite" w:cs="Tenorite" w:eastAsia="Tenorite" w:hAnsi="Tenorite"/>
          <w:color w:val="000000"/>
          <w:sz w:val="21"/>
          <w:szCs w:val="21"/>
        </w:rPr>
        <w:t xml:space="preserve">low</w:t>
      </w:r>
      <w:r>
        <w:rPr>
          <w:rFonts w:ascii="Tenorite" w:cs="Tenorite" w:eastAsia="Tenorite" w:hAnsi="Tenorite"/>
          <w:color w:val="000000"/>
          <w:sz w:val="21"/>
          <w:szCs w:val="21"/>
        </w:rPr>
        <w:t xml:space="preserve"> confidence because no accessible_screens or accessible_actions text exists in the source (personas.md, PERSONA-006; rbac-matrix.md, RBAC-031).</w:t>
      </w:r>
    </w:p>
    <w:p>
      <w:pPr>
        <w:spacing w:after="160" w:line="300"/>
      </w:pPr>
      <w:r>
        <w:rPr>
          <w:rFonts w:ascii="Tenorite" w:cs="Tenorite" w:eastAsia="Tenorite" w:hAnsi="Tenorite"/>
          <w:b/>
          <w:bCs/>
          <w:color w:val="000000"/>
          <w:sz w:val="21"/>
          <w:szCs w:val="21"/>
        </w:rPr>
        <w:t xml:space="preserve">PERSONA-017 / PERSONA-041: Manager/Approver roles</w:t>
      </w:r>
      <w:r>
        <w:rPr>
          <w:rFonts w:ascii="Tenorite" w:cs="Tenorite" w:eastAsia="Tenorite" w:hAnsi="Tenorite"/>
          <w:color w:val="000000"/>
          <w:sz w:val="21"/>
          <w:szCs w:val="21"/>
        </w:rPr>
        <w:t xml:space="preserve"> — </w:t>
      </w:r>
      <w:r>
        <w:rPr>
          <w:rFonts w:ascii="Tenorite" w:cs="Tenorite" w:eastAsia="Tenorite" w:hAnsi="Tenorite"/>
          <w:color w:val="000000"/>
          <w:sz w:val="21"/>
          <w:szCs w:val="21"/>
        </w:rPr>
        <w:t xml:space="preserve">high</w:t>
      </w:r>
      <w:r>
        <w:rPr>
          <w:rFonts w:ascii="Tenorite" w:cs="Tenorite" w:eastAsia="Tenorite" w:hAnsi="Tenorite"/>
          <w:color w:val="000000"/>
          <w:sz w:val="21"/>
          <w:szCs w:val="21"/>
        </w:rPr>
        <w:t xml:space="preserve"> confidence. PERSONA-017 approves billing adjustments via a Delegation-of-Authority (DOA) hierarchy. PERSONA-041 ("Team Manager / Approver," surfaced in guided journeys as the login "Test Manager") is the order- and lead-approval role: reviews the TM SR Queue/Order Activities Queue, approves or rejects orders (</w:t>
      </w:r>
      <w:r>
        <w:rPr>
          <w:rFonts w:ascii="Tenorite" w:cs="Tenorite" w:eastAsia="Tenorite" w:hAnsi="Tenorite"/>
          <w:color w:val="000000"/>
          <w:sz w:val="21"/>
          <w:szCs w:val="21"/>
        </w:rPr>
        <w:t xml:space="preserve">Reject - Correction</w:t>
      </w:r>
      <w:r>
        <w:rPr>
          <w:rFonts w:ascii="Tenorite" w:cs="Tenorite" w:eastAsia="Tenorite" w:hAnsi="Tenorite"/>
          <w:color w:val="000000"/>
          <w:sz w:val="21"/>
          <w:szCs w:val="21"/>
        </w:rPr>
        <w:t xml:space="preserve"> vs. </w:t>
      </w:r>
      <w:r>
        <w:rPr>
          <w:rFonts w:ascii="Tenorite" w:cs="Tenorite" w:eastAsia="Tenorite" w:hAnsi="Tenorite"/>
          <w:color w:val="000000"/>
          <w:sz w:val="21"/>
          <w:szCs w:val="21"/>
        </w:rPr>
        <w:t xml:space="preserve">Reject - Drop Order</w:t>
      </w:r>
      <w:r>
        <w:rPr>
          <w:rFonts w:ascii="Tenorite" w:cs="Tenorite" w:eastAsia="Tenorite" w:hAnsi="Tenorite"/>
          <w:color w:val="000000"/>
          <w:sz w:val="21"/>
          <w:szCs w:val="21"/>
        </w:rPr>
        <w:t xml:space="preserve">), and — critically — after one correction round, the "Reject - Correction" option disappears on re-review. This persona's menu is deliberately restricted to Home/Order Approval (plus Manage Leads/Leads Queue), explicitly excluding the full sales/order-creation modules front-line agents get (personas.md, PERSONA-017, PERSONA-041; rbac-matrix.md, RBAC-084–093).</w:t>
      </w:r>
    </w:p>
    <w:p>
      <w:pPr>
        <w:spacing w:after="160" w:line="300"/>
      </w:pPr>
      <w:r>
        <w:rPr>
          <w:rFonts w:ascii="Tenorite" w:cs="Tenorite" w:eastAsia="Tenorite" w:hAnsi="Tenorite"/>
          <w:b/>
          <w:bCs/>
          <w:color w:val="000000"/>
          <w:sz w:val="21"/>
          <w:szCs w:val="21"/>
        </w:rPr>
        <w:t xml:space="preserve">PERSONA-025: Field Technician / Field Engineer (WFM/OFS/OFSC)</w:t>
      </w:r>
      <w:r>
        <w:rPr>
          <w:rFonts w:ascii="Tenorite" w:cs="Tenorite" w:eastAsia="Tenorite" w:hAnsi="Tenorite"/>
          <w:color w:val="000000"/>
          <w:sz w:val="21"/>
          <w:szCs w:val="21"/>
        </w:rPr>
        <w:t xml:space="preserve"> — </w:t>
      </w:r>
      <w:r>
        <w:rPr>
          <w:rFonts w:ascii="Tenorite" w:cs="Tenorite" w:eastAsia="Tenorite" w:hAnsi="Tenorite"/>
          <w:color w:val="000000"/>
          <w:sz w:val="21"/>
          <w:szCs w:val="21"/>
        </w:rPr>
        <w:t xml:space="preserve">high</w:t>
      </w:r>
      <w:r>
        <w:rPr>
          <w:rFonts w:ascii="Tenorite" w:cs="Tenorite" w:eastAsia="Tenorite" w:hAnsi="Tenorite"/>
          <w:color w:val="000000"/>
          <w:sz w:val="21"/>
          <w:szCs w:val="21"/>
        </w:rPr>
        <w:t xml:space="preserve"> confidence. Installs fixed/FWA/5G services via the Oracle Field Service app: receives the job on "My Route," performs Assess Activity, Serial Number Check, Installation Checklist, and captures the customer signature. Has </w:t>
      </w:r>
      <w:r>
        <w:rPr>
          <w:rFonts w:ascii="Tenorite" w:cs="Tenorite" w:eastAsia="Tenorite" w:hAnsi="Tenorite"/>
          <w:b/>
          <w:bCs/>
          <w:color w:val="000000"/>
          <w:sz w:val="21"/>
          <w:szCs w:val="21"/>
        </w:rPr>
        <w:t xml:space="preserve">no Siebel access</w:t>
      </w:r>
      <w:r>
        <w:rPr>
          <w:rFonts w:ascii="Tenorite" w:cs="Tenorite" w:eastAsia="Tenorite" w:hAnsi="Tenorite"/>
          <w:color w:val="000000"/>
          <w:sz w:val="21"/>
          <w:szCs w:val="21"/>
        </w:rPr>
        <w:t xml:space="preserve"> and (at time of evidence capture) no visibility into the CPE combo-box password — though a decision was recorded to change that (personas.md, PERSONA-025; rbac-matrix.md, RBAC-061–068).</w:t>
      </w:r>
    </w:p>
    <w:p>
      <w:pPr>
        <w:spacing w:after="160" w:line="300"/>
      </w:pPr>
      <w:r>
        <w:rPr>
          <w:rFonts w:ascii="Tenorite" w:cs="Tenorite" w:eastAsia="Tenorite" w:hAnsi="Tenorite"/>
          <w:b/>
          <w:bCs/>
          <w:color w:val="000000"/>
          <w:sz w:val="21"/>
          <w:szCs w:val="21"/>
        </w:rPr>
        <w:t xml:space="preserve">PERSONA-008: IT Operations</w:t>
      </w:r>
      <w:r>
        <w:rPr>
          <w:rFonts w:ascii="Tenorite" w:cs="Tenorite" w:eastAsia="Tenorite" w:hAnsi="Tenorite"/>
          <w:color w:val="000000"/>
          <w:sz w:val="21"/>
          <w:szCs w:val="21"/>
        </w:rPr>
        <w:t xml:space="preserve"> — </w:t>
      </w:r>
      <w:r>
        <w:rPr>
          <w:rFonts w:ascii="Tenorite" w:cs="Tenorite" w:eastAsia="Tenorite" w:hAnsi="Tenorite"/>
          <w:color w:val="000000"/>
          <w:sz w:val="21"/>
          <w:szCs w:val="21"/>
        </w:rPr>
        <w:t xml:space="preserve">high</w:t>
      </w:r>
      <w:r>
        <w:rPr>
          <w:rFonts w:ascii="Tenorite" w:cs="Tenorite" w:eastAsia="Tenorite" w:hAnsi="Tenorite"/>
          <w:color w:val="000000"/>
          <w:sz w:val="21"/>
          <w:szCs w:val="21"/>
        </w:rPr>
        <w:t xml:space="preserve"> confidence, narrow but structurally important: this is the </w:t>
      </w:r>
      <w:r>
        <w:rPr>
          <w:rFonts w:ascii="Tenorite" w:cs="Tenorite" w:eastAsia="Tenorite" w:hAnsi="Tenorite"/>
          <w:i/>
          <w:iCs/>
          <w:color w:val="000000"/>
          <w:sz w:val="21"/>
          <w:szCs w:val="21"/>
        </w:rPr>
        <w:t xml:space="preserve">only</w:t>
      </w:r>
      <w:r>
        <w:rPr>
          <w:rFonts w:ascii="Tenorite" w:cs="Tenorite" w:eastAsia="Tenorite" w:hAnsi="Tenorite"/>
          <w:color w:val="000000"/>
          <w:sz w:val="21"/>
          <w:szCs w:val="21"/>
        </w:rPr>
        <w:t xml:space="preserve"> persona that retains direct Siebel/BRM ("vanilla," source-system) access after the DXP rollout, since the decision was made to serve all mixed CRM-BRM content through DXP with no source-system tabs for everyone else (personas.md, PERSONA-008; rbac-matrix.md, RBAC-033).</w:t>
      </w:r>
    </w:p>
    <w:p>
      <w:pPr>
        <w:spacing w:after="160" w:line="300"/>
      </w:pPr>
      <w:r>
        <w:rPr>
          <w:rFonts w:ascii="Tenorite" w:cs="Tenorite" w:eastAsia="Tenorite" w:hAnsi="Tenorite"/>
          <w:b/>
          <w:bCs/>
          <w:color w:val="000000"/>
          <w:sz w:val="21"/>
          <w:szCs w:val="21"/>
        </w:rPr>
        <w:t xml:space="preserve">PERSONA-015: Customer (Consumer/Enterprise/B2B2C End User)</w:t>
      </w:r>
      <w:r>
        <w:rPr>
          <w:rFonts w:ascii="Tenorite" w:cs="Tenorite" w:eastAsia="Tenorite" w:hAnsi="Tenorite"/>
          <w:color w:val="000000"/>
          <w:sz w:val="21"/>
          <w:szCs w:val="21"/>
        </w:rPr>
        <w:t xml:space="preserve"> — </w:t>
      </w:r>
      <w:r>
        <w:rPr>
          <w:rFonts w:ascii="Tenorite" w:cs="Tenorite" w:eastAsia="Tenorite" w:hAnsi="Tenorite"/>
          <w:color w:val="000000"/>
          <w:sz w:val="21"/>
          <w:szCs w:val="21"/>
        </w:rPr>
        <w:t xml:space="preserve">high</w:t>
      </w:r>
      <w:r>
        <w:rPr>
          <w:rFonts w:ascii="Tenorite" w:cs="Tenorite" w:eastAsia="Tenorite" w:hAnsi="Tenorite"/>
          <w:color w:val="000000"/>
          <w:sz w:val="21"/>
          <w:szCs w:val="21"/>
        </w:rPr>
        <w:t xml:space="preserve"> confidence. The subject of virtually every onboarding/activation/conversion journey: signs the CAF/subscription form via signature pad, sends MNP consent SMS, requests Home Move/TON, makes payments, and — for standard customers only — can self-serve instant activation (non-standard customers are instead routed to a Lead). See §6 for a documented internal conflict tied to this persona (personas.md, PERSONA-015; rbac-matrix.md, RBAC-052–058).</w:t>
      </w:r>
    </w:p>
    <w:p>
      <w:pPr>
        <w:spacing w:after="160" w:line="300"/>
      </w:pPr>
      <w:r>
        <w:rPr>
          <w:rFonts w:ascii="Tenorite" w:cs="Tenorite" w:eastAsia="Tenorite" w:hAnsi="Tenorite"/>
          <w:b/>
          <w:bCs/>
          <w:color w:val="000000"/>
          <w:sz w:val="21"/>
          <w:szCs w:val="21"/>
        </w:rPr>
        <w:t xml:space="preserve">PERSONA-063 / PERSONA-064: Agent (in DXP) / Assisted Care Agent</w:t>
      </w:r>
      <w:r>
        <w:rPr>
          <w:rFonts w:ascii="Tenorite" w:cs="Tenorite" w:eastAsia="Tenorite" w:hAnsi="Tenorite"/>
          <w:color w:val="000000"/>
          <w:sz w:val="21"/>
          <w:szCs w:val="21"/>
        </w:rPr>
        <w:t xml:space="preserve"> — </w:t>
      </w:r>
      <w:r>
        <w:rPr>
          <w:rFonts w:ascii="Tenorite" w:cs="Tenorite" w:eastAsia="Tenorite" w:hAnsi="Tenorite"/>
          <w:color w:val="000000"/>
          <w:sz w:val="21"/>
          <w:szCs w:val="21"/>
        </w:rPr>
        <w:t xml:space="preserve">medium</w:t>
      </w:r>
      <w:r>
        <w:rPr>
          <w:rFonts w:ascii="Tenorite" w:cs="Tenorite" w:eastAsia="Tenorite" w:hAnsi="Tenorite"/>
          <w:color w:val="000000"/>
          <w:sz w:val="21"/>
          <w:szCs w:val="21"/>
        </w:rPr>
        <w:t xml:space="preserve"> confidence, representing the </w:t>
      </w:r>
      <w:r>
        <w:rPr>
          <w:rFonts w:ascii="Tenorite" w:cs="Tenorite" w:eastAsia="Tenorite" w:hAnsi="Tenorite"/>
          <w:i/>
          <w:iCs/>
          <w:color w:val="000000"/>
          <w:sz w:val="21"/>
          <w:szCs w:val="21"/>
        </w:rPr>
        <w:t xml:space="preserve">target-state</w:t>
      </w:r>
      <w:r>
        <w:rPr>
          <w:rFonts w:ascii="Tenorite" w:cs="Tenorite" w:eastAsia="Tenorite" w:hAnsi="Tenorite"/>
          <w:color w:val="000000"/>
          <w:sz w:val="21"/>
          <w:szCs w:val="21"/>
        </w:rPr>
        <w:t xml:space="preserve"> DXP experience rather than legacy Siebel. The DXP Agent performs onboarding (ID validation routing, cart building, CAF generation, payment capture) and submits modify orders such as suspend/resume. The Assisted Care Agent retrieves aggregated "Customer 360" data (bill info, CDR, network status, orders) in response to customer queries (personas.md, PERSONA-063, PERSONA-064).</w:t>
      </w:r>
    </w:p>
    <w:p>
      <w:pPr>
        <w:spacing w:after="160" w:line="300"/>
      </w:pPr>
      <w:r>
        <w:rPr>
          <w:rFonts w:ascii="Tenorite" w:cs="Tenorite" w:eastAsia="Tenorite" w:hAnsi="Tenorite"/>
          <w:b/>
          <w:bCs/>
          <w:color w:val="000000"/>
          <w:sz w:val="21"/>
          <w:szCs w:val="21"/>
        </w:rPr>
        <w:t xml:space="preserve">PERSONA-044: Back Office / Admin (broad org-wide access)</w:t>
      </w:r>
      <w:r>
        <w:rPr>
          <w:rFonts w:ascii="Tenorite" w:cs="Tenorite" w:eastAsia="Tenorite" w:hAnsi="Tenorite"/>
          <w:color w:val="000000"/>
          <w:sz w:val="21"/>
          <w:szCs w:val="21"/>
        </w:rPr>
        <w:t xml:space="preserve"> — </w:t>
      </w:r>
      <w:r>
        <w:rPr>
          <w:rFonts w:ascii="Tenorite" w:cs="Tenorite" w:eastAsia="Tenorite" w:hAnsi="Tenorite"/>
          <w:color w:val="000000"/>
          <w:sz w:val="21"/>
          <w:szCs w:val="21"/>
        </w:rPr>
        <w:t xml:space="preserve">high</w:t>
      </w:r>
      <w:r>
        <w:rPr>
          <w:rFonts w:ascii="Tenorite" w:cs="Tenorite" w:eastAsia="Tenorite" w:hAnsi="Tenorite"/>
          <w:color w:val="000000"/>
          <w:sz w:val="21"/>
          <w:szCs w:val="21"/>
        </w:rPr>
        <w:t xml:space="preserve"> confidence. The widest menu observed in any single guided-journey walkthrough — spanning nearly all functional tiles (Assets, Trouble Tickets, Accounts, Sales Order, MNP, Numbers, Payments, Fixed Line, FDO Requests, New FWA, IDM Management, Static Data Business, etc.) plus org-wide lead visibility ("All Leads across Org") and Reject/Retire authority on leads that front-line and even manager roles don't have (personas.md, PERSONA-044; rbac-matrix.md, RBAC-098–103).</w:t>
      </w:r>
    </w:p>
    <w:p>
      <w:pPr>
        <w:pStyle w:val="Heading2"/>
        <w:spacing w:after="120" w:before="260"/>
      </w:pPr>
      <w:r>
        <w:t xml:space="preserve">3. Business Roles vs. Personas</w:t>
      </w:r>
    </w:p>
    <w:p>
      <w:pPr>
        <w:spacing w:after="160" w:line="300"/>
      </w:pPr>
      <w:r>
        <w:rPr>
          <w:rFonts w:ascii="Tenorite" w:cs="Tenorite" w:eastAsia="Tenorite" w:hAnsi="Tenorite"/>
          <w:color w:val="000000"/>
          <w:sz w:val="21"/>
          <w:szCs w:val="21"/>
        </w:rPr>
        <w:t xml:space="preserve">The source materials do not maintain a separate, formally distinct "roles" taxonomy layered on top of personas — </w:t>
      </w:r>
      <w:r>
        <w:rPr>
          <w:rFonts w:ascii="Tenorite" w:cs="Tenorite" w:eastAsia="Tenorite" w:hAnsi="Tenorite"/>
          <w:color w:val="000000"/>
          <w:sz w:val="21"/>
          <w:szCs w:val="21"/>
        </w:rPr>
        <w:t xml:space="preserve">personas.md</w:t>
      </w:r>
      <w:r>
        <w:rPr>
          <w:rFonts w:ascii="Tenorite" w:cs="Tenorite" w:eastAsia="Tenorite" w:hAnsi="Tenorite"/>
          <w:color w:val="000000"/>
          <w:sz w:val="21"/>
          <w:szCs w:val="21"/>
        </w:rPr>
        <w:t xml:space="preserve"> treats each catalogue entry itself as the unit of role/actor identity, populated from whatever a given source document calls that actor (a named individual acting in a role, e.g. "Vijay Sundaram (Collection &amp; Credit Control Manager)"; a Siebel "Responsibility" string, e.g. "Back Office Fulfilment"; or a generic functional title, e.g. "Field Technician"). Where the underlying Siebel system exposes a formal </w:t>
      </w:r>
      <w:r>
        <w:rPr>
          <w:rFonts w:ascii="Tenorite" w:cs="Tenorite" w:eastAsia="Tenorite" w:hAnsi="Tenorite"/>
          <w:b/>
          <w:bCs/>
          <w:color w:val="000000"/>
          <w:sz w:val="21"/>
          <w:szCs w:val="21"/>
        </w:rPr>
        <w:t xml:space="preserve">Responsibility</w:t>
      </w:r>
      <w:r>
        <w:rPr>
          <w:rFonts w:ascii="Tenorite" w:cs="Tenorite" w:eastAsia="Tenorite" w:hAnsi="Tenorite"/>
          <w:color w:val="000000"/>
          <w:sz w:val="21"/>
          <w:szCs w:val="21"/>
        </w:rPr>
        <w:t xml:space="preserve"> field (a literal access-control role assignment), that is captured verbatim inside the persona record rather than as a separate object — for example PERSONA-005 is explicitly tied to the Siebel Responsibility string "Back Office Fulfilment" plus "VFQ Base 2" (personas.md, PERSONA-005), and PERSONA-001 instances are tied to Responsibility "VFQA Sales." The RBAC normalization layer (</w:t>
      </w:r>
      <w:r>
        <w:rPr>
          <w:rFonts w:ascii="Tenorite" w:cs="Tenorite" w:eastAsia="Tenorite" w:hAnsi="Tenorite"/>
          <w:color w:val="000000"/>
          <w:sz w:val="21"/>
          <w:szCs w:val="21"/>
        </w:rPr>
        <w:t xml:space="preserve">rbac-matrix.md</w:t>
      </w:r>
      <w:r>
        <w:rPr>
          <w:rFonts w:ascii="Tenorite" w:cs="Tenorite" w:eastAsia="Tenorite" w:hAnsi="Tenorite"/>
          <w:color w:val="000000"/>
          <w:sz w:val="21"/>
          <w:szCs w:val="21"/>
        </w:rPr>
        <w:t xml:space="preserve">) is what formalizes these persona-level, prose-derived responsibilities into structured Screen × Permission × Action rows — it is effectively the "roles" layer, derived strictly from each persona's </w:t>
      </w:r>
      <w:r>
        <w:rPr>
          <w:rFonts w:ascii="Tenorite" w:cs="Tenorite" w:eastAsia="Tenorite" w:hAnsi="Tenorite"/>
          <w:color w:val="000000"/>
          <w:sz w:val="21"/>
          <w:szCs w:val="21"/>
        </w:rPr>
        <w:t xml:space="preserve">accessible_screens</w:t>
      </w:r>
      <w:r>
        <w:rPr>
          <w:rFonts w:ascii="Tenorite" w:cs="Tenorite" w:eastAsia="Tenorite" w:hAnsi="Tenorite"/>
          <w:color w:val="000000"/>
          <w:sz w:val="21"/>
          <w:szCs w:val="21"/>
        </w:rPr>
        <w:t xml:space="preserve">/</w:t>
      </w:r>
      <w:r>
        <w:rPr>
          <w:rFonts w:ascii="Tenorite" w:cs="Tenorite" w:eastAsia="Tenorite" w:hAnsi="Tenorite"/>
          <w:color w:val="000000"/>
          <w:sz w:val="21"/>
          <w:szCs w:val="21"/>
        </w:rPr>
        <w:t xml:space="preserve">accessible_actions</w:t>
      </w:r>
      <w:r>
        <w:rPr>
          <w:rFonts w:ascii="Tenorite" w:cs="Tenorite" w:eastAsia="Tenorite" w:hAnsi="Tenorite"/>
          <w:color w:val="000000"/>
          <w:sz w:val="21"/>
          <w:szCs w:val="21"/>
        </w:rPr>
        <w:t xml:space="preserve">/</w:t>
      </w:r>
      <w:r>
        <w:rPr>
          <w:rFonts w:ascii="Tenorite" w:cs="Tenorite" w:eastAsia="Tenorite" w:hAnsi="Tenorite"/>
          <w:color w:val="000000"/>
          <w:sz w:val="21"/>
          <w:szCs w:val="21"/>
        </w:rPr>
        <w:t xml:space="preserve">restricted_features</w:t>
      </w:r>
      <w:r>
        <w:rPr>
          <w:rFonts w:ascii="Tenorite" w:cs="Tenorite" w:eastAsia="Tenorite" w:hAnsi="Tenorite"/>
          <w:color w:val="000000"/>
          <w:sz w:val="21"/>
          <w:szCs w:val="21"/>
        </w:rPr>
        <w:t xml:space="preserve">/</w:t>
      </w:r>
      <w:r>
        <w:rPr>
          <w:rFonts w:ascii="Tenorite" w:cs="Tenorite" w:eastAsia="Tenorite" w:hAnsi="Tenorite"/>
          <w:color w:val="000000"/>
          <w:sz w:val="21"/>
          <w:szCs w:val="21"/>
        </w:rPr>
        <w:t xml:space="preserve">permissions</w:t>
      </w:r>
      <w:r>
        <w:rPr>
          <w:rFonts w:ascii="Tenorite" w:cs="Tenorite" w:eastAsia="Tenorite" w:hAnsi="Tenorite"/>
          <w:color w:val="000000"/>
          <w:sz w:val="21"/>
          <w:szCs w:val="21"/>
        </w:rPr>
        <w:t xml:space="preserve"> text (rbac-matrix.md, header note).</w:t>
      </w:r>
    </w:p>
    <w:p>
      <w:pPr>
        <w:pStyle w:val="Heading2"/>
        <w:spacing w:after="120" w:before="260"/>
      </w:pPr>
      <w:r>
        <w:t xml:space="preserve">4. Persona × Module Matrix — the Three-Tier Structure</w:t>
      </w:r>
    </w:p>
    <w:p>
      <w:pPr>
        <w:spacing w:after="160" w:line="300"/>
      </w:pPr>
      <w:r>
        <w:rPr>
          <w:rFonts w:ascii="Tenorite" w:cs="Tenorite" w:eastAsia="Tenorite" w:hAnsi="Tenorite"/>
          <w:color w:val="000000"/>
          <w:sz w:val="21"/>
          <w:szCs w:val="21"/>
        </w:rPr>
        <w:t xml:space="preserve">persona-matrix.md</w:t>
      </w:r>
      <w:r>
        <w:rPr>
          <w:rFonts w:ascii="Tenorite" w:cs="Tenorite" w:eastAsia="Tenorite" w:hAnsi="Tenorite"/>
          <w:color w:val="000000"/>
          <w:sz w:val="21"/>
          <w:szCs w:val="21"/>
        </w:rPr>
        <w:t xml:space="preserve"> cross-tabs personas against 16 functional modules (Lead Management, Mobile Postpaid, Mobile Prepaid, Pre-to-Post Migration, MNP/FNP Porting, Fixed Line/Fibre, FWA/5G Home, Enterprise/IoT/B2B, Billing &amp; Adjustments, Order Management, Identity &amp; Customer Management, SIM &amp; Number Management, Trouble Ticketing &amp; Complaints, Access/Roles/Approval Governance, CAF/Attachments &amp; Forms, Platform Governance &amp; Architecture), using cell codes F=Full, A=Approve/Reject, E=Edit, C=Create, ~=Conditional, V=View, X=Restricted-No-Access.</w:t>
      </w:r>
    </w:p>
    <w:p>
      <w:pPr>
        <w:spacing w:after="160" w:line="300"/>
      </w:pPr>
      <w:r>
        <w:rPr>
          <w:rFonts w:ascii="Tenorite" w:cs="Tenorite" w:eastAsia="Tenorite" w:hAnsi="Tenorite"/>
          <w:color w:val="000000"/>
          <w:sz w:val="21"/>
          <w:szCs w:val="21"/>
        </w:rPr>
        <w:t xml:space="preserve">Only a subset of personas could actually be placed in that grid, producing an explicit three-tier structure:</w:t>
      </w:r>
    </w:p>
    <w:p>
      <w:pPr>
        <w:pStyle w:val="ListParagraph"/>
        <w:numPr>
          <w:ilvl w:val="0"/>
          <w:numId w:val="1"/>
        </w:numPr>
        <w:spacing w:after="80"/>
      </w:pPr>
      <w:r>
        <w:rPr>
          <w:rFonts w:ascii="Tenorite" w:cs="Tenorite" w:eastAsia="Tenorite" w:hAnsi="Tenorite"/>
          <w:b/>
          <w:bCs/>
          <w:color w:val="000000"/>
          <w:sz w:val="21"/>
          <w:szCs w:val="21"/>
        </w:rPr>
        <w:t xml:space="preserve">Tier 1 — Module-mapped (30 of 66 personas):</w:t>
      </w:r>
      <w:r>
        <w:rPr>
          <w:rFonts w:ascii="Tenorite" w:cs="Tenorite" w:eastAsia="Tenorite" w:hAnsi="Tenorite"/>
          <w:color w:val="000000"/>
          <w:sz w:val="21"/>
          <w:szCs w:val="21"/>
        </w:rPr>
        <w:t xml:space="preserve"> these appear as rows in the matrix because at least one of their RBAC entries carried a </w:t>
      </w:r>
      <w:r>
        <w:rPr>
          <w:rFonts w:ascii="Tenorite" w:cs="Tenorite" w:eastAsia="Tenorite" w:hAnsi="Tenorite"/>
          <w:color w:val="000000"/>
          <w:sz w:val="21"/>
          <w:szCs w:val="21"/>
        </w:rPr>
        <w:t xml:space="preserve">screen_id</w:t>
      </w:r>
      <w:r>
        <w:rPr>
          <w:rFonts w:ascii="Tenorite" w:cs="Tenorite" w:eastAsia="Tenorite" w:hAnsi="Tenorite"/>
          <w:color w:val="000000"/>
          <w:sz w:val="21"/>
          <w:szCs w:val="21"/>
        </w:rPr>
        <w:t xml:space="preserve"> that resolves to a specific module. Examples: PERSONA-001 (Retail Agent) shows Conditional in Mobile Postpaid/Prepaid, Create across MNP/Fixed Line/FWA, and View in Order Management/Identity; PERSONA-041 (Team Manager/Approver) shows Full/Approve across Lead Management, Fixed Line, Order Management, and Access/Governance.</w:t>
      </w:r>
    </w:p>
    <w:p>
      <w:pPr>
        <w:pStyle w:val="ListParagraph"/>
        <w:numPr>
          <w:ilvl w:val="0"/>
          <w:numId w:val="1"/>
        </w:numPr>
        <w:spacing w:after="80"/>
      </w:pPr>
      <w:r>
        <w:rPr>
          <w:rFonts w:ascii="Tenorite" w:cs="Tenorite" w:eastAsia="Tenorite" w:hAnsi="Tenorite"/>
          <w:b/>
          <w:bCs/>
          <w:color w:val="000000"/>
          <w:sz w:val="21"/>
          <w:szCs w:val="21"/>
        </w:rPr>
        <w:t xml:space="preserve">Tier 2 — Evidenced-but-unmapped (31 of 66 personas):</w:t>
      </w:r>
      <w:r>
        <w:rPr>
          <w:rFonts w:ascii="Tenorite" w:cs="Tenorite" w:eastAsia="Tenorite" w:hAnsi="Tenorite"/>
          <w:color w:val="000000"/>
          <w:sz w:val="21"/>
          <w:szCs w:val="21"/>
        </w:rPr>
        <w:t xml:space="preserve"> these personas </w:t>
      </w:r>
      <w:r>
        <w:rPr>
          <w:rFonts w:ascii="Tenorite" w:cs="Tenorite" w:eastAsia="Tenorite" w:hAnsi="Tenorite"/>
          <w:b/>
          <w:bCs/>
          <w:color w:val="000000"/>
          <w:sz w:val="21"/>
          <w:szCs w:val="21"/>
        </w:rPr>
        <w:t xml:space="preserve">do</w:t>
      </w:r>
      <w:r>
        <w:rPr>
          <w:rFonts w:ascii="Tenorite" w:cs="Tenorite" w:eastAsia="Tenorite" w:hAnsi="Tenorite"/>
          <w:color w:val="000000"/>
          <w:sz w:val="21"/>
          <w:szCs w:val="21"/>
        </w:rPr>
        <w:t xml:space="preserve"> have real RBAC entries in </w:t>
      </w:r>
      <w:r>
        <w:rPr>
          <w:rFonts w:ascii="Tenorite" w:cs="Tenorite" w:eastAsia="Tenorite" w:hAnsi="Tenorite"/>
          <w:color w:val="000000"/>
          <w:sz w:val="21"/>
          <w:szCs w:val="21"/>
        </w:rPr>
        <w:t xml:space="preserve">rbac-matrix.md</w:t>
      </w:r>
      <w:r>
        <w:rPr>
          <w:rFonts w:ascii="Tenorite" w:cs="Tenorite" w:eastAsia="Tenorite" w:hAnsi="Tenorite"/>
          <w:color w:val="000000"/>
          <w:sz w:val="21"/>
          <w:szCs w:val="21"/>
        </w:rPr>
        <w:t xml:space="preserve">, but none of their entries carry a </w:t>
      </w:r>
      <w:r>
        <w:rPr>
          <w:rFonts w:ascii="Tenorite" w:cs="Tenorite" w:eastAsia="Tenorite" w:hAnsi="Tenorite"/>
          <w:color w:val="000000"/>
          <w:sz w:val="21"/>
          <w:szCs w:val="21"/>
        </w:rPr>
        <w:t xml:space="preserve">screen_id</w:t>
      </w:r>
      <w:r>
        <w:rPr>
          <w:rFonts w:ascii="Tenorite" w:cs="Tenorite" w:eastAsia="Tenorite" w:hAnsi="Tenorite"/>
          <w:color w:val="000000"/>
          <w:sz w:val="21"/>
          <w:szCs w:val="21"/>
        </w:rPr>
        <w:t xml:space="preserve"> resolvable to a module, so they cannot be placed in the grid. This group includes PERSONA-006 (Credit Control), PERSONA-008 (IT Operations), PERSONA-009 (Chooser), PERSONA-023 (CDM Team), PERSONA-034 (Authorized Officer), and 26 others.</w:t>
      </w:r>
    </w:p>
    <w:p>
      <w:pPr>
        <w:pStyle w:val="ListParagraph"/>
        <w:numPr>
          <w:ilvl w:val="0"/>
          <w:numId w:val="1"/>
        </w:numPr>
        <w:spacing w:after="80"/>
      </w:pPr>
      <w:r>
        <w:rPr>
          <w:rFonts w:ascii="Tenorite" w:cs="Tenorite" w:eastAsia="Tenorite" w:hAnsi="Tenorite"/>
          <w:b/>
          <w:bCs/>
          <w:color w:val="000000"/>
          <w:sz w:val="21"/>
          <w:szCs w:val="21"/>
        </w:rPr>
        <w:t xml:space="preserve">Tier 3 — Zero RBAC evidence (5 of 66 personas):</w:t>
      </w:r>
      <w:r>
        <w:rPr>
          <w:rFonts w:ascii="Tenorite" w:cs="Tenorite" w:eastAsia="Tenorite" w:hAnsi="Tenorite"/>
          <w:color w:val="000000"/>
          <w:sz w:val="21"/>
          <w:szCs w:val="21"/>
        </w:rPr>
        <w:t xml:space="preserve"> PERSONA-013 (EBU PM), PERSONA-045 (DSA/Store/Field Engineer sales-channel attribution), PERSONA-053 (role-family bundle: Customer Care/Telesales/Retention/Complaints/etc.), PERSONA-054 (Sales/Fulfilment VFID-KID mapping team), and PERSONA-055 (Field Survey Team) have no RBAC entry at all.</w:t>
      </w:r>
    </w:p>
    <w:p>
      <w:pPr>
        <w:spacing w:after="160" w:line="300"/>
      </w:pPr>
      <w:r>
        <w:rPr>
          <w:rFonts w:ascii="Tenorite" w:cs="Tenorite" w:eastAsia="Tenorite" w:hAnsi="Tenorite"/>
          <w:color w:val="000000"/>
          <w:sz w:val="21"/>
          <w:szCs w:val="21"/>
        </w:rPr>
        <w:t xml:space="preserve">The document is explicit and emphatic about how to read this: </w:t>
      </w:r>
      <w:r>
        <w:rPr>
          <w:rFonts w:ascii="Tenorite" w:cs="Tenorite" w:eastAsia="Tenorite" w:hAnsi="Tenorite"/>
          <w:b/>
          <w:bCs/>
          <w:color w:val="000000"/>
          <w:sz w:val="21"/>
          <w:szCs w:val="21"/>
        </w:rPr>
        <w:t xml:space="preserve">"a blank cell means no evidence, never no access."</w:t>
      </w:r>
      <w:r>
        <w:rPr>
          <w:rFonts w:ascii="Tenorite" w:cs="Tenorite" w:eastAsia="Tenorite" w:hAnsi="Tenorite"/>
          <w:color w:val="000000"/>
          <w:sz w:val="21"/>
          <w:szCs w:val="21"/>
        </w:rPr>
        <w:t xml:space="preserve"> Of 66 personas, 61 have at least one RBAC entry, but only 95 of the 145 total RBAC entries carry a </w:t>
      </w:r>
      <w:r>
        <w:rPr>
          <w:rFonts w:ascii="Tenorite" w:cs="Tenorite" w:eastAsia="Tenorite" w:hAnsi="Tenorite"/>
          <w:color w:val="000000"/>
          <w:sz w:val="21"/>
          <w:szCs w:val="21"/>
        </w:rPr>
        <w:t xml:space="preserve">screen_id</w:t>
      </w:r>
      <w:r>
        <w:rPr>
          <w:rFonts w:ascii="Tenorite" w:cs="Tenorite" w:eastAsia="Tenorite" w:hAnsi="Tenorite"/>
          <w:color w:val="000000"/>
          <w:sz w:val="21"/>
          <w:szCs w:val="21"/>
        </w:rPr>
        <w:t xml:space="preserve"> that resolves to a module — hence only 30 personas surface in the cross-tab. The other 31 personas-with-evidence must be looked up directly in </w:t>
      </w:r>
      <w:r>
        <w:rPr>
          <w:rFonts w:ascii="Tenorite" w:cs="Tenorite" w:eastAsia="Tenorite" w:hAnsi="Tenorite"/>
          <w:color w:val="000000"/>
          <w:sz w:val="21"/>
          <w:szCs w:val="21"/>
        </w:rPr>
        <w:t xml:space="preserve">rbac-matrix.md</w:t>
      </w:r>
      <w:r>
        <w:rPr>
          <w:rFonts w:ascii="Tenorite" w:cs="Tenorite" w:eastAsia="Tenorite" w:hAnsi="Tenorite"/>
          <w:color w:val="000000"/>
          <w:sz w:val="21"/>
          <w:szCs w:val="21"/>
        </w:rPr>
        <w:t xml:space="preserve"> rather than read off the grid, and the reader is warned: "Do not read a blank row/column as 'this persona has zero access to this module'" (persona-matrix.md).</w:t>
      </w:r>
    </w:p>
    <w:p>
      <w:pPr>
        <w:pStyle w:val="Heading2"/>
        <w:spacing w:after="120" w:before="260"/>
      </w:pPr>
      <w:r>
        <w:t xml:space="preserve">5. RBAC Summary</w:t>
      </w:r>
    </w:p>
    <w:p>
      <w:pPr>
        <w:spacing w:after="160" w:line="300"/>
      </w:pPr>
      <w:r>
        <w:rPr>
          <w:rFonts w:ascii="Tenorite" w:cs="Tenorite" w:eastAsia="Tenorite" w:hAnsi="Tenorite"/>
          <w:color w:val="000000"/>
          <w:sz w:val="21"/>
          <w:szCs w:val="21"/>
        </w:rPr>
        <w:t xml:space="preserve">rbac-matrix.md</w:t>
      </w:r>
      <w:r>
        <w:rPr>
          <w:rFonts w:ascii="Tenorite" w:cs="Tenorite" w:eastAsia="Tenorite" w:hAnsi="Tenorite"/>
          <w:color w:val="000000"/>
          <w:sz w:val="21"/>
          <w:szCs w:val="21"/>
        </w:rPr>
        <w:t xml:space="preserve"> normalizes personas' free-text </w:t>
      </w:r>
      <w:r>
        <w:rPr>
          <w:rFonts w:ascii="Tenorite" w:cs="Tenorite" w:eastAsia="Tenorite" w:hAnsi="Tenorite"/>
          <w:color w:val="000000"/>
          <w:sz w:val="21"/>
          <w:szCs w:val="21"/>
        </w:rPr>
        <w:t xml:space="preserve">accessible_screens</w:t>
      </w:r>
      <w:r>
        <w:rPr>
          <w:rFonts w:ascii="Tenorite" w:cs="Tenorite" w:eastAsia="Tenorite" w:hAnsi="Tenorite"/>
          <w:color w:val="000000"/>
          <w:sz w:val="21"/>
          <w:szCs w:val="21"/>
        </w:rPr>
        <w:t xml:space="preserve"> / </w:t>
      </w:r>
      <w:r>
        <w:rPr>
          <w:rFonts w:ascii="Tenorite" w:cs="Tenorite" w:eastAsia="Tenorite" w:hAnsi="Tenorite"/>
          <w:color w:val="000000"/>
          <w:sz w:val="21"/>
          <w:szCs w:val="21"/>
        </w:rPr>
        <w:t xml:space="preserve">accessible_actions</w:t>
      </w:r>
      <w:r>
        <w:rPr>
          <w:rFonts w:ascii="Tenorite" w:cs="Tenorite" w:eastAsia="Tenorite" w:hAnsi="Tenorite"/>
          <w:color w:val="000000"/>
          <w:sz w:val="21"/>
          <w:szCs w:val="21"/>
        </w:rPr>
        <w:t xml:space="preserve"> / </w:t>
      </w:r>
      <w:r>
        <w:rPr>
          <w:rFonts w:ascii="Tenorite" w:cs="Tenorite" w:eastAsia="Tenorite" w:hAnsi="Tenorite"/>
          <w:color w:val="000000"/>
          <w:sz w:val="21"/>
          <w:szCs w:val="21"/>
        </w:rPr>
        <w:t xml:space="preserve">restricted_features</w:t>
      </w:r>
      <w:r>
        <w:rPr>
          <w:rFonts w:ascii="Tenorite" w:cs="Tenorite" w:eastAsia="Tenorite" w:hAnsi="Tenorite"/>
          <w:color w:val="000000"/>
          <w:sz w:val="21"/>
          <w:szCs w:val="21"/>
        </w:rPr>
        <w:t xml:space="preserve"> / </w:t>
      </w:r>
      <w:r>
        <w:rPr>
          <w:rFonts w:ascii="Tenorite" w:cs="Tenorite" w:eastAsia="Tenorite" w:hAnsi="Tenorite"/>
          <w:color w:val="000000"/>
          <w:sz w:val="21"/>
          <w:szCs w:val="21"/>
        </w:rPr>
        <w:t xml:space="preserve">permissions</w:t>
      </w:r>
      <w:r>
        <w:rPr>
          <w:rFonts w:ascii="Tenorite" w:cs="Tenorite" w:eastAsia="Tenorite" w:hAnsi="Tenorite"/>
          <w:color w:val="000000"/>
          <w:sz w:val="21"/>
          <w:szCs w:val="21"/>
        </w:rPr>
        <w:t xml:space="preserve"> fields into </w:t>
      </w:r>
      <w:r>
        <w:rPr>
          <w:rFonts w:ascii="Tenorite" w:cs="Tenorite" w:eastAsia="Tenorite" w:hAnsi="Tenorite"/>
          <w:b/>
          <w:bCs/>
          <w:color w:val="000000"/>
          <w:sz w:val="21"/>
          <w:szCs w:val="21"/>
        </w:rPr>
        <w:t xml:space="preserve">145 discrete RBAC entries</w:t>
      </w:r>
      <w:r>
        <w:rPr>
          <w:rFonts w:ascii="Tenorite" w:cs="Tenorite" w:eastAsia="Tenorite" w:hAnsi="Tenorite"/>
          <w:color w:val="000000"/>
          <w:sz w:val="21"/>
          <w:szCs w:val="21"/>
        </w:rPr>
        <w:t xml:space="preserve"> (IDs </w:t>
      </w:r>
      <w:r>
        <w:rPr>
          <w:rFonts w:ascii="Tenorite" w:cs="Tenorite" w:eastAsia="Tenorite" w:hAnsi="Tenorite"/>
          <w:color w:val="000000"/>
          <w:sz w:val="21"/>
          <w:szCs w:val="21"/>
        </w:rPr>
        <w:t xml:space="preserve">RBAC-001</w:t>
      </w:r>
      <w:r>
        <w:rPr>
          <w:rFonts w:ascii="Tenorite" w:cs="Tenorite" w:eastAsia="Tenorite" w:hAnsi="Tenorite"/>
          <w:color w:val="000000"/>
          <w:sz w:val="21"/>
          <w:szCs w:val="21"/>
        </w:rPr>
        <w:t xml:space="preserve"> through </w:t>
      </w:r>
      <w:r>
        <w:rPr>
          <w:rFonts w:ascii="Tenorite" w:cs="Tenorite" w:eastAsia="Tenorite" w:hAnsi="Tenorite"/>
          <w:color w:val="000000"/>
          <w:sz w:val="21"/>
          <w:szCs w:val="21"/>
        </w:rPr>
        <w:t xml:space="preserve">RBAC-145</w:t>
      </w:r>
      <w:r>
        <w:rPr>
          <w:rFonts w:ascii="Tenorite" w:cs="Tenorite" w:eastAsia="Tenorite" w:hAnsi="Tenorite"/>
          <w:color w:val="000000"/>
          <w:sz w:val="21"/>
          <w:szCs w:val="21"/>
        </w:rPr>
        <w:t xml:space="preserve">+), each structured as a five-column row: </w:t>
      </w:r>
      <w:r>
        <w:rPr>
          <w:rFonts w:ascii="Tenorite" w:cs="Tenorite" w:eastAsia="Tenorite" w:hAnsi="Tenorite"/>
          <w:b/>
          <w:bCs/>
          <w:color w:val="000000"/>
          <w:sz w:val="21"/>
          <w:szCs w:val="21"/>
        </w:rPr>
        <w:t xml:space="preserve">Screen</w:t>
      </w:r>
      <w:r>
        <w:rPr>
          <w:rFonts w:ascii="Tenorite" w:cs="Tenorite" w:eastAsia="Tenorite" w:hAnsi="Tenorite"/>
          <w:color w:val="000000"/>
          <w:sz w:val="21"/>
          <w:szCs w:val="21"/>
        </w:rPr>
        <w:t xml:space="preserve"> (a </w:t>
      </w:r>
      <w:r>
        <w:rPr>
          <w:rFonts w:ascii="Tenorite" w:cs="Tenorite" w:eastAsia="Tenorite" w:hAnsi="Tenorite"/>
          <w:color w:val="000000"/>
          <w:sz w:val="21"/>
          <w:szCs w:val="21"/>
        </w:rPr>
        <w:t xml:space="preserve">SCR-xxx</w:t>
      </w:r>
      <w:r>
        <w:rPr>
          <w:rFonts w:ascii="Tenorite" w:cs="Tenorite" w:eastAsia="Tenorite" w:hAnsi="Tenorite"/>
          <w:color w:val="000000"/>
          <w:sz w:val="21"/>
          <w:szCs w:val="21"/>
        </w:rPr>
        <w:t xml:space="preserve"> catalogue ID where a confident match exists, else blank), </w:t>
      </w:r>
      <w:r>
        <w:rPr>
          <w:rFonts w:ascii="Tenorite" w:cs="Tenorite" w:eastAsia="Tenorite" w:hAnsi="Tenorite"/>
          <w:b/>
          <w:bCs/>
          <w:color w:val="000000"/>
          <w:sz w:val="21"/>
          <w:szCs w:val="21"/>
        </w:rPr>
        <w:t xml:space="preserve">Permission</w:t>
      </w:r>
      <w:r>
        <w:rPr>
          <w:rFonts w:ascii="Tenorite" w:cs="Tenorite" w:eastAsia="Tenorite" w:hAnsi="Tenorite"/>
          <w:color w:val="000000"/>
          <w:sz w:val="21"/>
          <w:szCs w:val="21"/>
        </w:rPr>
        <w:t xml:space="preserve"> (one of View / Create / Edit / Approve / Reject / Full / Conditional / Restricted-No-Access), </w:t>
      </w:r>
      <w:r>
        <w:rPr>
          <w:rFonts w:ascii="Tenorite" w:cs="Tenorite" w:eastAsia="Tenorite" w:hAnsi="Tenorite"/>
          <w:b/>
          <w:bCs/>
          <w:color w:val="000000"/>
          <w:sz w:val="21"/>
          <w:szCs w:val="21"/>
        </w:rPr>
        <w:t xml:space="preserve">Allowed</w:t>
      </w:r>
      <w:r>
        <w:rPr>
          <w:rFonts w:ascii="Tenorite" w:cs="Tenorite" w:eastAsia="Tenorite" w:hAnsi="Tenorite"/>
          <w:color w:val="000000"/>
          <w:sz w:val="21"/>
          <w:szCs w:val="21"/>
        </w:rPr>
        <w:t xml:space="preserve"> (free-text description of what's permitted), and </w:t>
      </w:r>
      <w:r>
        <w:rPr>
          <w:rFonts w:ascii="Tenorite" w:cs="Tenorite" w:eastAsia="Tenorite" w:hAnsi="Tenorite"/>
          <w:b/>
          <w:bCs/>
          <w:color w:val="000000"/>
          <w:sz w:val="21"/>
          <w:szCs w:val="21"/>
        </w:rPr>
        <w:t xml:space="preserve">Restricted</w:t>
      </w:r>
      <w:r>
        <w:rPr>
          <w:rFonts w:ascii="Tenorite" w:cs="Tenorite" w:eastAsia="Tenorite" w:hAnsi="Tenorite"/>
          <w:color w:val="000000"/>
          <w:sz w:val="21"/>
          <w:szCs w:val="21"/>
        </w:rPr>
        <w:t xml:space="preserve"> (free-text description of any carve-out or denial). Every entry has a supporting evidence block citing its source document slug(s), classification (</w:t>
      </w:r>
      <w:r>
        <w:rPr>
          <w:rFonts w:ascii="Tenorite" w:cs="Tenorite" w:eastAsia="Tenorite" w:hAnsi="Tenorite"/>
          <w:color w:val="000000"/>
          <w:sz w:val="21"/>
          <w:szCs w:val="21"/>
        </w:rPr>
        <w:t xml:space="preserve">Explicit</w:t>
      </w:r>
      <w:r>
        <w:rPr>
          <w:rFonts w:ascii="Tenorite" w:cs="Tenorite" w:eastAsia="Tenorite" w:hAnsi="Tenorite"/>
          <w:color w:val="000000"/>
          <w:sz w:val="21"/>
          <w:szCs w:val="21"/>
        </w:rPr>
        <w:t xml:space="preserve">/</w:t>
      </w:r>
      <w:r>
        <w:rPr>
          <w:rFonts w:ascii="Tenorite" w:cs="Tenorite" w:eastAsia="Tenorite" w:hAnsi="Tenorite"/>
          <w:color w:val="000000"/>
          <w:sz w:val="21"/>
          <w:szCs w:val="21"/>
        </w:rPr>
        <w:t xml:space="preserve">Inferred</w:t>
      </w:r>
      <w:r>
        <w:rPr>
          <w:rFonts w:ascii="Tenorite" w:cs="Tenorite" w:eastAsia="Tenorite" w:hAnsi="Tenorite"/>
          <w:color w:val="000000"/>
          <w:sz w:val="21"/>
          <w:szCs w:val="21"/>
        </w:rPr>
        <w:t xml:space="preserve">/</w:t>
      </w:r>
      <w:r>
        <w:rPr>
          <w:rFonts w:ascii="Tenorite" w:cs="Tenorite" w:eastAsia="Tenorite" w:hAnsi="Tenorite"/>
          <w:color w:val="000000"/>
          <w:sz w:val="21"/>
          <w:szCs w:val="21"/>
        </w:rPr>
        <w:t xml:space="preserve">Assumed</w:t>
      </w:r>
      <w:r>
        <w:rPr>
          <w:rFonts w:ascii="Tenorite" w:cs="Tenorite" w:eastAsia="Tenorite" w:hAnsi="Tenorite"/>
          <w:color w:val="000000"/>
          <w:sz w:val="21"/>
          <w:szCs w:val="21"/>
        </w:rPr>
        <w:t xml:space="preserve">), and confidence (</w:t>
      </w:r>
      <w:r>
        <w:rPr>
          <w:rFonts w:ascii="Tenorite" w:cs="Tenorite" w:eastAsia="Tenorite" w:hAnsi="Tenorite"/>
          <w:color w:val="000000"/>
          <w:sz w:val="21"/>
          <w:szCs w:val="21"/>
        </w:rPr>
        <w:t xml:space="preserve">high</w:t>
      </w:r>
      <w:r>
        <w:rPr>
          <w:rFonts w:ascii="Tenorite" w:cs="Tenorite" w:eastAsia="Tenorite" w:hAnsi="Tenorite"/>
          <w:color w:val="000000"/>
          <w:sz w:val="21"/>
          <w:szCs w:val="21"/>
        </w:rPr>
        <w:t xml:space="preserve">/</w:t>
      </w:r>
      <w:r>
        <w:rPr>
          <w:rFonts w:ascii="Tenorite" w:cs="Tenorite" w:eastAsia="Tenorite" w:hAnsi="Tenorite"/>
          <w:color w:val="000000"/>
          <w:sz w:val="21"/>
          <w:szCs w:val="21"/>
        </w:rPr>
        <w:t xml:space="preserve">medium</w:t>
      </w:r>
      <w:r>
        <w:rPr>
          <w:rFonts w:ascii="Tenorite" w:cs="Tenorite" w:eastAsia="Tenorite" w:hAnsi="Tenorite"/>
          <w:color w:val="000000"/>
          <w:sz w:val="21"/>
          <w:szCs w:val="21"/>
        </w:rPr>
        <w:t xml:space="preserve">/</w:t>
      </w:r>
      <w:r>
        <w:rPr>
          <w:rFonts w:ascii="Tenorite" w:cs="Tenorite" w:eastAsia="Tenorite" w:hAnsi="Tenorite"/>
          <w:color w:val="000000"/>
          <w:sz w:val="21"/>
          <w:szCs w:val="21"/>
        </w:rPr>
        <w:t xml:space="preserve">low</w:t>
      </w:r>
      <w:r>
        <w:rPr>
          <w:rFonts w:ascii="Tenorite" w:cs="Tenorite" w:eastAsia="Tenorite" w:hAnsi="Tenorite"/>
          <w:color w:val="000000"/>
          <w:sz w:val="21"/>
          <w:szCs w:val="21"/>
        </w:rPr>
        <w:t xml:space="preserve">). Overall confidence skews high but is far from uniform: 76 high, 44 medium, 25 low; classification 99 Explicit, 25 Inferred, 21 Assumed. 61 of 66 personas have at least one entry (rbac-matrix.md, header/coverage section).</w:t>
      </w:r>
    </w:p>
    <w:p>
      <w:pPr>
        <w:spacing w:after="160" w:line="300"/>
      </w:pPr>
      <w:r>
        <w:rPr>
          <w:rFonts w:ascii="Tenorite" w:cs="Tenorite" w:eastAsia="Tenorite" w:hAnsi="Tenorite"/>
          <w:color w:val="000000"/>
          <w:sz w:val="21"/>
          <w:szCs w:val="21"/>
        </w:rPr>
        <w:t xml:space="preserve">Representative entries illustrating the range of the matrix:</w:t>
      </w:r>
    </w:p>
    <w:tbl>
      <w:tblPr>
        <w:tblW w:type="dxa" w:w="9350"/>
        <w:tblBorders>
          <w:top w:val="single" w:color="BFBFBF" w:sz="4"/>
          <w:left w:val="single" w:color="BFBFBF" w:sz="4"/>
          <w:bottom w:val="single" w:color="BFBFBF" w:sz="4"/>
          <w:right w:val="single" w:color="BFBFBF" w:sz="4"/>
          <w:insideH w:val="single" w:color="D9D9D9" w:sz="4"/>
          <w:insideV w:val="single" w:color="D9D9D9" w:sz="4"/>
        </w:tblBorders>
      </w:tblPr>
      <w:tblGrid>
        <w:gridCol w:w="1870"/>
        <w:gridCol w:w="1870"/>
        <w:gridCol w:w="1870"/>
        <w:gridCol w:w="1870"/>
        <w:gridCol w:w="1870"/>
      </w:tblGrid>
      <w:tr>
        <w:trPr>
          <w:tblHeader/>
        </w:trPr>
        <w:tc>
          <w:tcPr>
            <w:tcW w:type="dxa" w:w="1870"/>
            <w:shd w:fill="E8E8E8" w:val="clear"/>
            <w:tcMar>
              <w:top w:type="dxa" w:w="60"/>
              <w:left w:type="dxa" w:w="100"/>
              <w:bottom w:type="dxa" w:w="60"/>
              <w:right w:type="dxa" w:w="100"/>
            </w:tcMar>
            <w:vAlign w:val="center"/>
          </w:tcPr>
          <w:p>
            <w:pPr>
              <w:spacing w:after="0"/>
            </w:pPr>
            <w:r>
              <w:rPr>
                <w:rFonts w:ascii="Tenorite" w:cs="Tenorite" w:eastAsia="Tenorite" w:hAnsi="Tenorite"/>
                <w:b/>
                <w:bCs/>
                <w:color w:val="7030A0"/>
                <w:sz w:val="18"/>
                <w:szCs w:val="18"/>
              </w:rPr>
              <w:t xml:space="preserve">Entry</w:t>
            </w:r>
          </w:p>
        </w:tc>
        <w:tc>
          <w:tcPr>
            <w:tcW w:type="dxa" w:w="1870"/>
            <w:shd w:fill="E8E8E8" w:val="clear"/>
            <w:tcMar>
              <w:top w:type="dxa" w:w="60"/>
              <w:left w:type="dxa" w:w="100"/>
              <w:bottom w:type="dxa" w:w="60"/>
              <w:right w:type="dxa" w:w="100"/>
            </w:tcMar>
            <w:vAlign w:val="center"/>
          </w:tcPr>
          <w:p>
            <w:pPr>
              <w:spacing w:after="0"/>
            </w:pPr>
            <w:r>
              <w:rPr>
                <w:rFonts w:ascii="Tenorite" w:cs="Tenorite" w:eastAsia="Tenorite" w:hAnsi="Tenorite"/>
                <w:b/>
                <w:bCs/>
                <w:color w:val="7030A0"/>
                <w:sz w:val="18"/>
                <w:szCs w:val="18"/>
              </w:rPr>
              <w:t xml:space="preserve">Persona</w:t>
            </w:r>
          </w:p>
        </w:tc>
        <w:tc>
          <w:tcPr>
            <w:tcW w:type="dxa" w:w="1870"/>
            <w:shd w:fill="E8E8E8" w:val="clear"/>
            <w:tcMar>
              <w:top w:type="dxa" w:w="60"/>
              <w:left w:type="dxa" w:w="100"/>
              <w:bottom w:type="dxa" w:w="60"/>
              <w:right w:type="dxa" w:w="100"/>
            </w:tcMar>
            <w:vAlign w:val="center"/>
          </w:tcPr>
          <w:p>
            <w:pPr>
              <w:spacing w:after="0"/>
            </w:pPr>
            <w:r>
              <w:rPr>
                <w:rFonts w:ascii="Tenorite" w:cs="Tenorite" w:eastAsia="Tenorite" w:hAnsi="Tenorite"/>
                <w:b/>
                <w:bCs/>
                <w:color w:val="7030A0"/>
                <w:sz w:val="18"/>
                <w:szCs w:val="18"/>
              </w:rPr>
              <w:t xml:space="preserve">Screen</w:t>
            </w:r>
          </w:p>
        </w:tc>
        <w:tc>
          <w:tcPr>
            <w:tcW w:type="dxa" w:w="1870"/>
            <w:shd w:fill="E8E8E8" w:val="clear"/>
            <w:tcMar>
              <w:top w:type="dxa" w:w="60"/>
              <w:left w:type="dxa" w:w="100"/>
              <w:bottom w:type="dxa" w:w="60"/>
              <w:right w:type="dxa" w:w="100"/>
            </w:tcMar>
            <w:vAlign w:val="center"/>
          </w:tcPr>
          <w:p>
            <w:pPr>
              <w:spacing w:after="0"/>
            </w:pPr>
            <w:r>
              <w:rPr>
                <w:rFonts w:ascii="Tenorite" w:cs="Tenorite" w:eastAsia="Tenorite" w:hAnsi="Tenorite"/>
                <w:b/>
                <w:bCs/>
                <w:color w:val="7030A0"/>
                <w:sz w:val="18"/>
                <w:szCs w:val="18"/>
              </w:rPr>
              <w:t xml:space="preserve">Permission</w:t>
            </w:r>
          </w:p>
        </w:tc>
        <w:tc>
          <w:tcPr>
            <w:tcW w:type="dxa" w:w="1870"/>
            <w:shd w:fill="E8E8E8" w:val="clear"/>
            <w:tcMar>
              <w:top w:type="dxa" w:w="60"/>
              <w:left w:type="dxa" w:w="100"/>
              <w:bottom w:type="dxa" w:w="60"/>
              <w:right w:type="dxa" w:w="100"/>
            </w:tcMar>
            <w:vAlign w:val="center"/>
          </w:tcPr>
          <w:p>
            <w:pPr>
              <w:spacing w:after="0"/>
            </w:pPr>
            <w:r>
              <w:rPr>
                <w:rFonts w:ascii="Tenorite" w:cs="Tenorite" w:eastAsia="Tenorite" w:hAnsi="Tenorite"/>
                <w:b/>
                <w:bCs/>
                <w:color w:val="7030A0"/>
                <w:sz w:val="18"/>
                <w:szCs w:val="18"/>
              </w:rPr>
              <w:t xml:space="preserve">Allowed / Restricted</w:t>
            </w:r>
          </w:p>
        </w:tc>
      </w:tr>
      <w:tr>
        <w:tc>
          <w:tcPr>
            <w:tcW w:type="dxa" w:w="1870"/>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RBAC-001</w:t>
            </w:r>
          </w:p>
        </w:tc>
        <w:tc>
          <w:tcPr>
            <w:tcW w:type="dxa" w:w="1870"/>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Retail/Sales Agent</w:t>
            </w:r>
          </w:p>
        </w:tc>
        <w:tc>
          <w:tcPr>
            <w:tcW w:type="dxa" w:w="1870"/>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SCR-040 CRM Open UI Desktop Home Page</w:t>
            </w:r>
          </w:p>
        </w:tc>
        <w:tc>
          <w:tcPr>
            <w:tcW w:type="dxa" w:w="1870"/>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View</w:t>
            </w:r>
          </w:p>
        </w:tc>
        <w:tc>
          <w:tcPr>
            <w:tcW w:type="dxa" w:w="1870"/>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Navigate home page tile grid</w:t>
            </w:r>
          </w:p>
        </w:tc>
      </w:tr>
      <w:tr>
        <w:tc>
          <w:tcPr>
            <w:tcW w:type="dxa" w:w="1870"/>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RBAC-012</w:t>
            </w:r>
          </w:p>
        </w:tc>
        <w:tc>
          <w:tcPr>
            <w:tcW w:type="dxa" w:w="1870"/>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Retail/Sales Agent</w:t>
            </w:r>
          </w:p>
        </w:tc>
        <w:tc>
          <w:tcPr>
            <w:tcW w:type="dxa" w:w="1870"/>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SCR-114 MNP Postpaid Plan Step</w:t>
            </w:r>
          </w:p>
        </w:tc>
        <w:tc>
          <w:tcPr>
            <w:tcW w:type="dxa" w:w="1870"/>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Conditional</w:t>
            </w:r>
          </w:p>
        </w:tc>
        <w:tc>
          <w:tcPr>
            <w:tcW w:type="dxa" w:w="1870"/>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Can edit Bill Limit down to, not below, Agent Minimum Value without admin override</w:t>
            </w:r>
          </w:p>
        </w:tc>
      </w:tr>
      <w:tr>
        <w:tc>
          <w:tcPr>
            <w:tcW w:type="dxa" w:w="1870"/>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RBAC-021</w:t>
            </w:r>
          </w:p>
        </w:tc>
        <w:tc>
          <w:tcPr>
            <w:tcW w:type="dxa" w:w="1870"/>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Account Manager</w:t>
            </w:r>
          </w:p>
        </w:tc>
        <w:tc>
          <w:tcPr>
            <w:tcW w:type="dxa" w:w="1870"/>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SCR-011 MS Dynamics Discount Approval Hierarchy</w:t>
            </w:r>
          </w:p>
        </w:tc>
        <w:tc>
          <w:tcPr>
            <w:tcW w:type="dxa" w:w="1870"/>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Approve</w:t>
            </w:r>
          </w:p>
        </w:tc>
        <w:tc>
          <w:tcPr>
            <w:tcW w:type="dxa" w:w="1870"/>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Approve account affiliation forms; restricted — no CRM access, served via 117 channel instead</w:t>
            </w:r>
          </w:p>
        </w:tc>
      </w:tr>
      <w:tr>
        <w:tc>
          <w:tcPr>
            <w:tcW w:type="dxa" w:w="1870"/>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RBAC-033</w:t>
            </w:r>
          </w:p>
        </w:tc>
        <w:tc>
          <w:tcPr>
            <w:tcW w:type="dxa" w:w="1870"/>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IT Operations</w:t>
            </w:r>
          </w:p>
        </w:tc>
        <w:tc>
          <w:tcPr>
            <w:tcW w:type="dxa" w:w="1870"/>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(Vanilla Siebel/BRM tabs, no catalogue ID)</w:t>
            </w:r>
          </w:p>
        </w:tc>
        <w:tc>
          <w:tcPr>
            <w:tcW w:type="dxa" w:w="1870"/>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Full</w:t>
            </w:r>
          </w:p>
        </w:tc>
        <w:tc>
          <w:tcPr>
            <w:tcW w:type="dxa" w:w="1870"/>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Direct Siebel/BRM access retained exclusively for this persona</w:t>
            </w:r>
          </w:p>
        </w:tc>
      </w:tr>
      <w:tr>
        <w:tc>
          <w:tcPr>
            <w:tcW w:type="dxa" w:w="1870"/>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RBAC-045</w:t>
            </w:r>
          </w:p>
        </w:tc>
        <w:tc>
          <w:tcPr>
            <w:tcW w:type="dxa" w:w="1870"/>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Manager (Approver/Bypass/Sys Admin)</w:t>
            </w:r>
          </w:p>
        </w:tc>
        <w:tc>
          <w:tcPr>
            <w:tcW w:type="dxa" w:w="1870"/>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SCR-117 Product Promotions admin</w:t>
            </w:r>
          </w:p>
        </w:tc>
        <w:tc>
          <w:tcPr>
            <w:tcW w:type="dxa" w:w="1870"/>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Full</w:t>
            </w:r>
          </w:p>
        </w:tc>
        <w:tc>
          <w:tcPr>
            <w:tcW w:type="dxa" w:w="1870"/>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Override/bypass QID number entry; approve manually-added fees; raise/lower Agent Minimum Value thresholds</w:t>
            </w:r>
          </w:p>
        </w:tc>
      </w:tr>
      <w:tr>
        <w:tc>
          <w:tcPr>
            <w:tcW w:type="dxa" w:w="1870"/>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RBAC-052</w:t>
            </w:r>
          </w:p>
        </w:tc>
        <w:tc>
          <w:tcPr>
            <w:tcW w:type="dxa" w:w="1870"/>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Customer</w:t>
            </w:r>
          </w:p>
        </w:tc>
        <w:tc>
          <w:tcPr>
            <w:tcW w:type="dxa" w:w="1870"/>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SCR-070 Signature Capture Pad</w:t>
            </w:r>
          </w:p>
        </w:tc>
        <w:tc>
          <w:tcPr>
            <w:tcW w:type="dxa" w:w="1870"/>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Create</w:t>
            </w:r>
          </w:p>
        </w:tc>
        <w:tc>
          <w:tcPr>
            <w:tcW w:type="dxa" w:w="1870"/>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Sign form / sign CAF via signature pad</w:t>
            </w:r>
          </w:p>
        </w:tc>
      </w:tr>
      <w:tr>
        <w:tc>
          <w:tcPr>
            <w:tcW w:type="dxa" w:w="1870"/>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RBAC-065</w:t>
            </w:r>
          </w:p>
        </w:tc>
        <w:tc>
          <w:tcPr>
            <w:tcW w:type="dxa" w:w="1870"/>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Field Technician</w:t>
            </w:r>
          </w:p>
        </w:tc>
        <w:tc>
          <w:tcPr>
            <w:tcW w:type="dxa" w:w="1870"/>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(system access)</w:t>
            </w:r>
          </w:p>
        </w:tc>
        <w:tc>
          <w:tcPr>
            <w:tcW w:type="dxa" w:w="1870"/>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Restricted-No-Access</w:t>
            </w:r>
          </w:p>
        </w:tc>
        <w:tc>
          <w:tcPr>
            <w:tcW w:type="dxa" w:w="1870"/>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No Siebel access</w:t>
            </w:r>
          </w:p>
        </w:tc>
      </w:tr>
      <w:tr>
        <w:tc>
          <w:tcPr>
            <w:tcW w:type="dxa" w:w="1870"/>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RBAC-086</w:t>
            </w:r>
          </w:p>
        </w:tc>
        <w:tc>
          <w:tcPr>
            <w:tcW w:type="dxa" w:w="1870"/>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Team Manager/Approver</w:t>
            </w:r>
          </w:p>
        </w:tc>
        <w:tc>
          <w:tcPr>
            <w:tcW w:type="dxa" w:w="1870"/>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SCR-061 Order Approval detail</w:t>
            </w:r>
          </w:p>
        </w:tc>
        <w:tc>
          <w:tcPr>
            <w:tcW w:type="dxa" w:w="1870"/>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Approve</w:t>
            </w:r>
          </w:p>
        </w:tc>
        <w:tc>
          <w:tcPr>
            <w:tcW w:type="dxa" w:w="1870"/>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Approve, Reject-Correction, Reject-Drop Order, Assign To Me</w:t>
            </w:r>
          </w:p>
        </w:tc>
      </w:tr>
      <w:tr>
        <w:tc>
          <w:tcPr>
            <w:tcW w:type="dxa" w:w="1870"/>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RBAC-094</w:t>
            </w:r>
          </w:p>
        </w:tc>
        <w:tc>
          <w:tcPr>
            <w:tcW w:type="dxa" w:w="1870"/>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Retention Team</w:t>
            </w:r>
          </w:p>
        </w:tc>
        <w:tc>
          <w:tcPr>
            <w:tcW w:type="dxa" w:w="1870"/>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SCR-199 FDO requests tab</w:t>
            </w:r>
          </w:p>
        </w:tc>
        <w:tc>
          <w:tcPr>
            <w:tcW w:type="dxa" w:w="1870"/>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Full</w:t>
            </w:r>
          </w:p>
        </w:tc>
        <w:tc>
          <w:tcPr>
            <w:tcW w:type="dxa" w:w="1870"/>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Cancel Disconnection FDO — restricted to this team only</w:t>
            </w:r>
          </w:p>
        </w:tc>
      </w:tr>
      <w:tr>
        <w:tc>
          <w:tcPr>
            <w:tcW w:type="dxa" w:w="1870"/>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RBAC-115</w:t>
            </w:r>
          </w:p>
        </w:tc>
        <w:tc>
          <w:tcPr>
            <w:tcW w:type="dxa" w:w="1870"/>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Fulfillment Team (ECR Details)</w:t>
            </w:r>
          </w:p>
        </w:tc>
        <w:tc>
          <w:tcPr>
            <w:tcW w:type="dxa" w:w="1870"/>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SCR-170 CAF &amp; Additional Attachments step (B2B2C)</w:t>
            </w:r>
          </w:p>
        </w:tc>
        <w:tc>
          <w:tcPr>
            <w:tcW w:type="dxa" w:w="1870"/>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Restricted-No-Access</w:t>
            </w:r>
          </w:p>
        </w:tc>
        <w:tc>
          <w:tcPr>
            <w:tcW w:type="dxa" w:w="1870"/>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ECR Details field is fulfillment-team-only; front-line agents blocked</w:t>
            </w:r>
          </w:p>
        </w:tc>
      </w:tr>
    </w:tbl>
    <w:p>
      <w:pPr>
        <w:spacing w:after="200"/>
      </w:pPr>
    </w:p>
    <w:p>
      <w:pPr>
        <w:spacing w:after="160" w:line="300"/>
      </w:pPr>
      <w:r>
        <w:rPr>
          <w:rFonts w:ascii="Tenorite" w:cs="Tenorite" w:eastAsia="Tenorite" w:hAnsi="Tenorite"/>
          <w:color w:val="000000"/>
          <w:sz w:val="21"/>
          <w:szCs w:val="21"/>
        </w:rPr>
        <w:t xml:space="preserve">(rbac-matrix.md, cited entry IDs above)</w:t>
      </w:r>
    </w:p>
    <w:p>
      <w:pPr>
        <w:pStyle w:val="Heading2"/>
        <w:spacing w:after="120" w:before="260"/>
      </w:pPr>
      <w:r>
        <w:t xml:space="preserve">6. Known Data-Quality Note: PERSONA-015 / PERSONA-021 Conflict</w:t>
      </w:r>
    </w:p>
    <w:p>
      <w:pPr>
        <w:spacing w:after="160" w:line="300"/>
      </w:pPr>
      <w:r>
        <w:rPr>
          <w:rFonts w:ascii="Tenorite" w:cs="Tenorite" w:eastAsia="Tenorite" w:hAnsi="Tenorite"/>
          <w:color w:val="000000"/>
          <w:sz w:val="21"/>
          <w:szCs w:val="21"/>
        </w:rPr>
        <w:t xml:space="preserve">During synthesis, a genuine self-contradiction surfaced regarding </w:t>
      </w:r>
      <w:r>
        <w:rPr>
          <w:rFonts w:ascii="Tenorite" w:cs="Tenorite" w:eastAsia="Tenorite" w:hAnsi="Tenorite"/>
          <w:b/>
          <w:bCs/>
          <w:color w:val="000000"/>
          <w:sz w:val="21"/>
          <w:szCs w:val="21"/>
        </w:rPr>
        <w:t xml:space="preserve">which channel can initiate service suspension/resume</w:t>
      </w:r>
      <w:r>
        <w:rPr>
          <w:rFonts w:ascii="Tenorite" w:cs="Tenorite" w:eastAsia="Tenorite" w:hAnsi="Tenorite"/>
          <w:color w:val="000000"/>
          <w:sz w:val="21"/>
          <w:szCs w:val="21"/>
        </w:rPr>
        <w:t xml:space="preserve">. PERSONA-015 (Customer) originally carried a claim, sourced to </w:t>
      </w:r>
      <w:r>
        <w:rPr>
          <w:rFonts w:ascii="Tenorite" w:cs="Tenorite" w:eastAsia="Tenorite" w:hAnsi="Tenorite"/>
          <w:color w:val="000000"/>
          <w:sz w:val="21"/>
          <w:szCs w:val="21"/>
        </w:rPr>
        <w:t xml:space="preserve">vfq-stack-modernization-br-29jun-updatev1-0-af309fe2</w:t>
      </w:r>
      <w:r>
        <w:rPr>
          <w:rFonts w:ascii="Tenorite" w:cs="Tenorite" w:eastAsia="Tenorite" w:hAnsi="Tenorite"/>
          <w:color w:val="000000"/>
          <w:sz w:val="21"/>
          <w:szCs w:val="21"/>
        </w:rPr>
        <w:t xml:space="preserve">, that the customer "requests service suspension/resume via Email, Phone, or Retail Counter" — i.e., a retail-channel-accessible flow. This directly conflicts with PERSONA-021 (Collection/Credit Control Team, Manual Suspension via Taurus), which is sourced from a </w:t>
      </w:r>
      <w:r>
        <w:rPr>
          <w:rFonts w:ascii="Tenorite" w:cs="Tenorite" w:eastAsia="Tenorite" w:hAnsi="Tenorite"/>
          <w:color w:val="000000"/>
          <w:sz w:val="21"/>
          <w:szCs w:val="21"/>
        </w:rPr>
        <w:t xml:space="preserve">high</w:t>
      </w:r>
      <w:r>
        <w:rPr>
          <w:rFonts w:ascii="Tenorite" w:cs="Tenorite" w:eastAsia="Tenorite" w:hAnsi="Tenorite"/>
          <w:color w:val="000000"/>
          <w:sz w:val="21"/>
          <w:szCs w:val="21"/>
        </w:rPr>
        <w:t xml:space="preserve">-confidence workshop transcript stating manual suspension is explicitly "not a retail journey" and is restricted to back-office roles running it as a ticket-driven process in the Taurus system.</w:t>
      </w:r>
    </w:p>
    <w:p>
      <w:pPr>
        <w:spacing w:after="160" w:line="300"/>
      </w:pPr>
      <w:r>
        <w:rPr>
          <w:rFonts w:ascii="Tenorite" w:cs="Tenorite" w:eastAsia="Tenorite" w:hAnsi="Tenorite"/>
          <w:color w:val="000000"/>
          <w:sz w:val="21"/>
          <w:szCs w:val="21"/>
        </w:rPr>
        <w:t xml:space="preserve">personas.md</w:t>
      </w:r>
      <w:r>
        <w:rPr>
          <w:rFonts w:ascii="Tenorite" w:cs="Tenorite" w:eastAsia="Tenorite" w:hAnsi="Tenorite"/>
          <w:color w:val="000000"/>
          <w:sz w:val="21"/>
          <w:szCs w:val="21"/>
        </w:rPr>
        <w:t xml:space="preserve"> documents how this was resolved: the conflicting source for PERSONA-015's claim was independently re-scored as Medium-Low confidence in a separate review pass, and per the project's Source Confidence Handling Policy (High-confidence evidence beats Medium-Low when sources conflict), PERSONA-021's back-office framing was treated as authoritative. The retail-channel suspension/resume claim on PERSONA-015 is explicitly flagged with a </w:t>
      </w:r>
      <w:r>
        <w:rPr>
          <w:rFonts w:ascii="Tenorite" w:cs="Tenorite" w:eastAsia="Tenorite" w:hAnsi="Tenorite"/>
          <w:b/>
          <w:bCs/>
          <w:color w:val="000000"/>
          <w:sz w:val="21"/>
          <w:szCs w:val="21"/>
        </w:rPr>
        <w:t xml:space="preserve">"⚠ Confidence caveat"</w:t>
      </w:r>
      <w:r>
        <w:rPr>
          <w:rFonts w:ascii="Tenorite" w:cs="Tenorite" w:eastAsia="Tenorite" w:hAnsi="Tenorite"/>
          <w:color w:val="000000"/>
          <w:sz w:val="21"/>
          <w:szCs w:val="21"/>
        </w:rPr>
        <w:t xml:space="preserve"> and marked "unresolved/pending stakeholder confirmation" rather than silently kept or deleted — the corpus also notes a related citation-attribution correction (the quote was originally mis-attributed to a different, unrelated source slug before being corrected). This is documented as </w:t>
      </w:r>
      <w:r>
        <w:rPr>
          <w:rFonts w:ascii="Tenorite" w:cs="Tenorite" w:eastAsia="Tenorite" w:hAnsi="Tenorite"/>
          <w:color w:val="000000"/>
          <w:sz w:val="21"/>
          <w:szCs w:val="21"/>
        </w:rPr>
        <w:t xml:space="preserve">conflict-report.md</w:t>
      </w:r>
      <w:r>
        <w:rPr>
          <w:rFonts w:ascii="Tenorite" w:cs="Tenorite" w:eastAsia="Tenorite" w:hAnsi="Tenorite"/>
          <w:color w:val="000000"/>
          <w:sz w:val="21"/>
          <w:szCs w:val="21"/>
        </w:rPr>
        <w:t xml:space="preserve"> Conflict 3 (personas.md, PERSONA-015 confidence caveat, PERSONA-021).</w:t>
      </w:r>
    </w:p>
    <w:p>
      <w:r>
        <w:br w:type="page"/>
      </w:r>
    </w:p>
    <w:p>
      <w:pPr>
        <w:pStyle w:val="Heading1"/>
        <w:spacing w:after="160" w:before="320"/>
      </w:pPr>
      <w:r>
        <w:t xml:space="preserve">Business Processes &amp; Workflows</w:t>
      </w:r>
    </w:p>
    <w:p>
      <w:pPr>
        <w:pStyle w:val="Heading2"/>
        <w:spacing w:after="120" w:before="260"/>
      </w:pPr>
      <w:r>
        <w:t xml:space="preserve">1. Journey Catalogue Overview</w:t>
      </w:r>
    </w:p>
    <w:p>
      <w:pPr>
        <w:spacing w:after="160" w:line="300"/>
      </w:pPr>
      <w:r>
        <w:rPr>
          <w:rFonts w:ascii="Tenorite" w:cs="Tenorite" w:eastAsia="Tenorite" w:hAnsi="Tenorite"/>
          <w:color w:val="000000"/>
          <w:sz w:val="21"/>
          <w:szCs w:val="21"/>
        </w:rPr>
        <w:t xml:space="preserve">The reconstructed journey catalogue documents </w:t>
      </w:r>
      <w:r>
        <w:rPr>
          <w:rFonts w:ascii="Tenorite" w:cs="Tenorite" w:eastAsia="Tenorite" w:hAnsi="Tenorite"/>
          <w:b/>
          <w:bCs/>
          <w:color w:val="000000"/>
          <w:sz w:val="21"/>
          <w:szCs w:val="21"/>
        </w:rPr>
        <w:t xml:space="preserve">111 canonical end-to-end user journeys</w:t>
      </w:r>
      <w:r>
        <w:rPr>
          <w:rFonts w:ascii="Tenorite" w:cs="Tenorite" w:eastAsia="Tenorite" w:hAnsi="Tenorite"/>
          <w:color w:val="000000"/>
          <w:sz w:val="21"/>
          <w:szCs w:val="21"/>
        </w:rPr>
        <w:t xml:space="preserve">, deduplicated from 118 raw mentions extracted across an 83-document corpus of workshops, business process reviews, BRSDs, and screenshot-driven guided-journey walkthroughs (journeys.md, header). Each journey carries a unique ID (UJ-001 through UJ-111), a plain-English title, actors, preconditions, workflow steps, success/exit conditions, and one or more citations back to a specific source document slug.</w:t>
      </w:r>
    </w:p>
    <w:p>
      <w:pPr>
        <w:spacing w:after="160" w:line="300"/>
      </w:pPr>
      <w:r>
        <w:rPr>
          <w:rFonts w:ascii="Tenorite" w:cs="Tenorite" w:eastAsia="Tenorite" w:hAnsi="Tenorite"/>
          <w:b/>
          <w:bCs/>
          <w:color w:val="000000"/>
          <w:sz w:val="21"/>
          <w:szCs w:val="21"/>
        </w:rPr>
        <w:t xml:space="preserve">Confidence and classification breakdown</w:t>
      </w:r>
      <w:r>
        <w:rPr>
          <w:rFonts w:ascii="Tenorite" w:cs="Tenorite" w:eastAsia="Tenorite" w:hAnsi="Tenorite"/>
          <w:color w:val="000000"/>
          <w:sz w:val="21"/>
          <w:szCs w:val="21"/>
        </w:rPr>
        <w:t xml:space="preserve"> (journeys.md, lines 7–8):</w:t>
      </w:r>
    </w:p>
    <w:p>
      <w:pPr>
        <w:pStyle w:val="ListParagraph"/>
        <w:numPr>
          <w:ilvl w:val="0"/>
          <w:numId w:val="1"/>
        </w:numPr>
        <w:spacing w:after="80"/>
      </w:pPr>
      <w:r>
        <w:rPr>
          <w:rFonts w:ascii="Tenorite" w:cs="Tenorite" w:eastAsia="Tenorite" w:hAnsi="Tenorite"/>
          <w:color w:val="000000"/>
          <w:sz w:val="21"/>
          <w:szCs w:val="21"/>
        </w:rPr>
        <w:t xml:space="preserve">Confidence: </w:t>
      </w:r>
      <w:r>
        <w:rPr>
          <w:rFonts w:ascii="Tenorite" w:cs="Tenorite" w:eastAsia="Tenorite" w:hAnsi="Tenorite"/>
          <w:b/>
          <w:bCs/>
          <w:color w:val="000000"/>
          <w:sz w:val="21"/>
          <w:szCs w:val="21"/>
        </w:rPr>
        <w:t xml:space="preserve">high — 101</w:t>
      </w:r>
      <w:r>
        <w:rPr>
          <w:rFonts w:ascii="Tenorite" w:cs="Tenorite" w:eastAsia="Tenorite" w:hAnsi="Tenorite"/>
          <w:color w:val="000000"/>
          <w:sz w:val="21"/>
          <w:szCs w:val="21"/>
        </w:rPr>
        <w:t xml:space="preserve">, </w:t>
      </w:r>
      <w:r>
        <w:rPr>
          <w:rFonts w:ascii="Tenorite" w:cs="Tenorite" w:eastAsia="Tenorite" w:hAnsi="Tenorite"/>
          <w:b/>
          <w:bCs/>
          <w:color w:val="000000"/>
          <w:sz w:val="21"/>
          <w:szCs w:val="21"/>
        </w:rPr>
        <w:t xml:space="preserve">medium — 9</w:t>
      </w:r>
      <w:r>
        <w:rPr>
          <w:rFonts w:ascii="Tenorite" w:cs="Tenorite" w:eastAsia="Tenorite" w:hAnsi="Tenorite"/>
          <w:color w:val="000000"/>
          <w:sz w:val="21"/>
          <w:szCs w:val="21"/>
        </w:rPr>
        <w:t xml:space="preserve">, </w:t>
      </w:r>
      <w:r>
        <w:rPr>
          <w:rFonts w:ascii="Tenorite" w:cs="Tenorite" w:eastAsia="Tenorite" w:hAnsi="Tenorite"/>
          <w:b/>
          <w:bCs/>
          <w:color w:val="000000"/>
          <w:sz w:val="21"/>
          <w:szCs w:val="21"/>
        </w:rPr>
        <w:t xml:space="preserve">low — 1</w:t>
      </w:r>
    </w:p>
    <w:p>
      <w:pPr>
        <w:pStyle w:val="ListParagraph"/>
        <w:numPr>
          <w:ilvl w:val="0"/>
          <w:numId w:val="1"/>
        </w:numPr>
        <w:spacing w:after="80"/>
      </w:pPr>
      <w:r>
        <w:rPr>
          <w:rFonts w:ascii="Tenorite" w:cs="Tenorite" w:eastAsia="Tenorite" w:hAnsi="Tenorite"/>
          <w:color w:val="000000"/>
          <w:sz w:val="21"/>
          <w:szCs w:val="21"/>
        </w:rPr>
        <w:t xml:space="preserve">Classification: </w:t>
      </w:r>
      <w:r>
        <w:rPr>
          <w:rFonts w:ascii="Tenorite" w:cs="Tenorite" w:eastAsia="Tenorite" w:hAnsi="Tenorite"/>
          <w:b/>
          <w:bCs/>
          <w:color w:val="000000"/>
          <w:sz w:val="21"/>
          <w:szCs w:val="21"/>
        </w:rPr>
        <w:t xml:space="preserve">Explicit — 111</w:t>
      </w:r>
      <w:r>
        <w:rPr>
          <w:rFonts w:ascii="Tenorite" w:cs="Tenorite" w:eastAsia="Tenorite" w:hAnsi="Tenorite"/>
          <w:color w:val="000000"/>
          <w:sz w:val="21"/>
          <w:szCs w:val="21"/>
        </w:rPr>
        <w:t xml:space="preserve">, Inferred — 0, Assumed — 0</w:t>
      </w:r>
    </w:p>
    <w:p>
      <w:pPr>
        <w:spacing w:after="160" w:line="300"/>
      </w:pPr>
      <w:r>
        <w:rPr>
          <w:rFonts w:ascii="Tenorite" w:cs="Tenorite" w:eastAsia="Tenorite" w:hAnsi="Tenorite"/>
          <w:color w:val="000000"/>
          <w:sz w:val="21"/>
          <w:szCs w:val="21"/>
        </w:rPr>
        <w:t xml:space="preserve">All 111 journeys are "Explicit," meaning each was directly evidenced in source material rather than inferred by the analysis — none were guessed or assumed.</w:t>
      </w:r>
    </w:p>
    <w:p>
      <w:pPr>
        <w:spacing w:after="160" w:line="300"/>
      </w:pPr>
      <w:r>
        <w:rPr>
          <w:rFonts w:ascii="Tenorite" w:cs="Tenorite" w:eastAsia="Tenorite" w:hAnsi="Tenorite"/>
          <w:b/>
          <w:bCs/>
          <w:color w:val="000000"/>
          <w:sz w:val="21"/>
          <w:szCs w:val="21"/>
        </w:rPr>
        <w:t xml:space="preserve">Categorization by module/domain.</w:t>
      </w:r>
      <w:r>
        <w:rPr>
          <w:rFonts w:ascii="Tenorite" w:cs="Tenorite" w:eastAsia="Tenorite" w:hAnsi="Tenorite"/>
          <w:color w:val="000000"/>
          <w:sz w:val="21"/>
          <w:szCs w:val="21"/>
        </w:rPr>
        <w:t xml:space="preserve"> The journeys span these functional areas, evident from the ID sequence and titles: Lead Management (UJ-001, UJ-072–075), Enterprise/IoT/B2B (UJ-003–013), MNP/FNP Porting (UJ-014–016, UJ-018, UJ-026, UJ-068–071, UJ-094, UJ-099–100, UJ-110), GigaHome/Fixed-Line &amp; Fibre (UJ-017, UJ-031–034, UJ-039, UJ-045–055, UJ-067, UJ-095–102), Trouble Ticketing (UJ-018, UJ-022–026, UJ-109–111), SIM Swap &amp; TON (UJ-019–020, UJ-024, UJ-040–041, UJ-090–091), Prepaid/Postpaid Migration (UJ-027–030, UJ-085–088), FWA/5G Home (UJ-011, UJ-036–038, UJ-056–066), New Postpaid/Prepaid Activation (UJ-042–044, UJ-077–084, UJ-089, UJ-093, UJ-103–104), Home Move (UJ-039, UJ-067), and cross-cutting processes like Customer 360, RFS data flow, and service suspension/resume (UJ-105–108). The equivalent module grouping used for test-scenario generation (16 modules) confirms this structure (test-scenario-catalogue.md, §1 module headers).</w:t>
      </w:r>
    </w:p>
    <w:p>
      <w:pPr>
        <w:pStyle w:val="Heading2"/>
        <w:spacing w:after="120" w:before="260"/>
      </w:pPr>
      <w:r>
        <w:t xml:space="preserve">2. Journey Deep-Dives</w:t>
      </w:r>
    </w:p>
    <w:p>
      <w:pPr>
        <w:spacing w:after="160" w:line="300"/>
      </w:pPr>
      <w:r>
        <w:rPr>
          <w:rFonts w:ascii="Tenorite" w:cs="Tenorite" w:eastAsia="Tenorite" w:hAnsi="Tenorite"/>
          <w:b/>
          <w:bCs/>
          <w:color w:val="000000"/>
          <w:sz w:val="21"/>
          <w:szCs w:val="21"/>
        </w:rPr>
        <w:t xml:space="preserve">UJ-042 — New Postpaid Connection (Retail Channel Activation)</w:t>
      </w:r>
      <w:r>
        <w:rPr>
          <w:rFonts w:ascii="Tenorite" w:cs="Tenorite" w:eastAsia="Tenorite" w:hAnsi="Tenorite"/>
          <w:color w:val="000000"/>
          <w:sz w:val="21"/>
          <w:szCs w:val="21"/>
        </w:rPr>
        <w:t xml:space="preserve"> (journeys.md, UJ-042). Actors: Retail agent, Customer. Preconditions: customer holds a QID (or eligible ID) and passes eligibility/credit/blacklist checks. Stages: Qnomy queue token issued → ID scan/OCR and MOI (Ministry of Interior) validation → eligibility/credit/blacklist checks → plan/device/number/SIM selection → checkout → CAF (Customer Application Form) signature → WinCash payment. Success condition: CAF signed and payment completed, connection activated. Related deep variants documented separately include HRN (High-Risk Nationality) customers with credit-limit overrides (UJ-080, UJ-083–084), B2B2C flows with/without manager approval (UJ-081–082), and a Bill Limit validation failure scenario where an agent cannot set a bill limit below the configured Agent Minimum (UJ-078, error "Bill Limit can not be set lower than Agent Minimum 80").</w:t>
      </w:r>
    </w:p>
    <w:p>
      <w:pPr>
        <w:spacing w:after="160" w:line="300"/>
      </w:pPr>
      <w:r>
        <w:rPr>
          <w:rFonts w:ascii="Tenorite" w:cs="Tenorite" w:eastAsia="Tenorite" w:hAnsi="Tenorite"/>
          <w:b/>
          <w:bCs/>
          <w:color w:val="000000"/>
          <w:sz w:val="21"/>
          <w:szCs w:val="21"/>
        </w:rPr>
        <w:t xml:space="preserve">UJ-014 — MNP Port-In (Mobile Number Portability), Postpaid Sales Front-End</w:t>
      </w:r>
      <w:r>
        <w:rPr>
          <w:rFonts w:ascii="Tenorite" w:cs="Tenorite" w:eastAsia="Tenorite" w:hAnsi="Tenorite"/>
          <w:color w:val="000000"/>
          <w:sz w:val="21"/>
          <w:szCs w:val="21"/>
        </w:rPr>
        <w:t xml:space="preserve"> (journeys.md, UJ-014). Actors: Sales, Fulfilment, Customer, Ooredoo (donor operator), NPAS (National Porting Administration System). Workflow: Sales sends CAF, MNP form, and QID/passport to Fulfilment, who validates and creates a Siebel order with plan/MNP category/porting details/reserved temporary MSISDN; the customer must send a consent SMS within 24 hours; the request routes via NPAS to Ooredoo, who has 24 hours to accept/reject/conditionally accept; if conditional, an 8-business-hour payment window applies; actual porting happens in a shared Sun–Thu 11am–12pm window (10:45am cutoff for same-day). Business rule/exception: rejection under any of 13 valid reasons restarts the entire journey. A parallel desktop guided-journey walkthrough (UJ-069, "Switch as Postpaid") and a tablet HRN/expatriate variant with add-on selection (UJ-070) document the same flow at UI-click granularity. Post-port billing and a three-level dunning ladder (outgoing bar day 31 → incoming bar day 45 → disconnection + number return + 30-day quarantine) is a distinct downstream journey (UJ-016).</w:t>
      </w:r>
    </w:p>
    <w:p>
      <w:pPr>
        <w:spacing w:after="160" w:line="300"/>
      </w:pPr>
      <w:r>
        <w:rPr>
          <w:rFonts w:ascii="Tenorite" w:cs="Tenorite" w:eastAsia="Tenorite" w:hAnsi="Tenorite"/>
          <w:b/>
          <w:bCs/>
          <w:color w:val="000000"/>
          <w:sz w:val="21"/>
          <w:szCs w:val="21"/>
        </w:rPr>
        <w:t xml:space="preserve">UJ-039 — Home Move (Business Process, fiber/5G matrix)</w:t>
      </w:r>
      <w:r>
        <w:rPr>
          <w:rFonts w:ascii="Tenorite" w:cs="Tenorite" w:eastAsia="Tenorite" w:hAnsi="Tenorite"/>
          <w:color w:val="000000"/>
          <w:sz w:val="21"/>
          <w:szCs w:val="21"/>
        </w:rPr>
        <w:t xml:space="preserve"> (journeys.md, UJ-039), with a fully-documented happy-path variant at </w:t>
      </w:r>
      <w:r>
        <w:rPr>
          <w:rFonts w:ascii="Tenorite" w:cs="Tenorite" w:eastAsia="Tenorite" w:hAnsi="Tenorite"/>
          <w:b/>
          <w:bCs/>
          <w:color w:val="000000"/>
          <w:sz w:val="21"/>
          <w:szCs w:val="21"/>
        </w:rPr>
        <w:t xml:space="preserve">UJ-067 — Home Move Fixed-to-Fixed Happy Path</w:t>
      </w:r>
      <w:r>
        <w:rPr>
          <w:rFonts w:ascii="Tenorite" w:cs="Tenorite" w:eastAsia="Tenorite" w:hAnsi="Tenorite"/>
          <w:color w:val="000000"/>
          <w:sz w:val="21"/>
          <w:szCs w:val="21"/>
        </w:rPr>
        <w:t xml:space="preserve"> (journeys.md, UJ-067). Actors: Customer (always initiates), Retail/Sales Agent, WFM (Workforce Management) Supervisor, Field Technician. Business rule: old service stays live until the new location is provisioned, billing is adjusted pro-rata, and only the fiber-to-fiber combination has an actual system journey today — every other fiber/5G × indoor/outdoor combination is handled manually via ticket. Stages for the happy path: enter KID (Kahramaa/premise ID) and check fiber-readiness → enter fixed number → confirm contact/address → free-Home-Move eligibility check (first-time-per-12-months) → book WFM appointment → activity comments → order created (Open) → WFM search/verify ONT (Optical Network Terminal) in inventory → technician assigned → on-site activation checklist with customer signature → order Complete.</w:t>
      </w:r>
    </w:p>
    <w:p>
      <w:pPr>
        <w:spacing w:after="160" w:line="300"/>
      </w:pPr>
      <w:r>
        <w:rPr>
          <w:rFonts w:ascii="Tenorite" w:cs="Tenorite" w:eastAsia="Tenorite" w:hAnsi="Tenorite"/>
          <w:b/>
          <w:bCs/>
          <w:color w:val="000000"/>
          <w:sz w:val="21"/>
          <w:szCs w:val="21"/>
        </w:rPr>
        <w:t xml:space="preserve">UJ-085/UJ-086/UJ-087 — Prepaid-to-Postpaid Conversion (three documented variants)</w:t>
      </w:r>
      <w:r>
        <w:rPr>
          <w:rFonts w:ascii="Tenorite" w:cs="Tenorite" w:eastAsia="Tenorite" w:hAnsi="Tenorite"/>
          <w:color w:val="000000"/>
          <w:sz w:val="21"/>
          <w:szCs w:val="21"/>
        </w:rPr>
        <w:t xml:space="preserve"> (journeys.md, UJ-085–087). UJ-085 (Desktop Vanilla/manual): agent right-clicks the existing prepaid asset, selects "Upgrade Promotion," configures a Bill Limit, and hits a blocking validation error (SBL-EXL-00151) when the bill limit is set below the Agent Minimum. UJ-086 (Open UI Desktop, manual plan search): agent runs a guided "Prepaid to Postpaid" process, auto-generates a bilingual CAF, captures e-signature, creates a Pending sales order. UJ-087 (Autobase/system-recommended): a Unica-campaign-generated Migration Offer is accepted through a 3-step wizard, then a backend Bulk Job (PreToPost job type) processes the migration to Complete with a new active Postpaid Billing Profile. The business-process-level entry (UJ-027) separately documents the manual eligibility rules still in force: minimum one month on network, minimum 50 Riyal recharge in the last month, CDR-based usage history check — "manual today, to be automated."</w:t>
      </w:r>
    </w:p>
    <w:p>
      <w:pPr>
        <w:spacing w:after="160" w:line="300"/>
      </w:pPr>
      <w:r>
        <w:rPr>
          <w:rFonts w:ascii="Tenorite" w:cs="Tenorite" w:eastAsia="Tenorite" w:hAnsi="Tenorite"/>
          <w:b/>
          <w:bCs/>
          <w:color w:val="000000"/>
          <w:sz w:val="21"/>
          <w:szCs w:val="21"/>
        </w:rPr>
        <w:t xml:space="preserve">UJ-020 — SIM Swap (Retail/Back Office/MVA, CBS-validated)</w:t>
      </w:r>
      <w:r>
        <w:rPr>
          <w:rFonts w:ascii="Tenorite" w:cs="Tenorite" w:eastAsia="Tenorite" w:hAnsi="Tenorite"/>
          <w:color w:val="000000"/>
          <w:sz w:val="21"/>
          <w:szCs w:val="21"/>
        </w:rPr>
        <w:t xml:space="preserve"> (journeys.md, UJ-020). Actors: Retail agent, Back-office agent, MVA (My Vodafone App) self-service user, Manager (bypass). Validation chain: OCR scan of ID → barcode match → MOI API validation (name/DOB/nationality) → match against CBS (Customer Billing System) customer info — described as "this extra third validation step" versus other journeys. Approval varies by channel: Retail requires approval + form + ID attachment; Back office is partly auto-approved; MVA requires no approval once eKYC is done. Charge is applied per SIM type. Exception noted: rejection occurs if ID/MOI validation fails, and fraud risk remains if a genuine ID belongs to someone other than the requester. UJ-090 (SIM Swap from Global Search, multi-channel) and UJ-091 (SIM Swap Approval, with rejection path across desktop/tablet queues) document the guided-journey-level walkthroughs of the same process.</w:t>
      </w:r>
    </w:p>
    <w:p>
      <w:pPr>
        <w:spacing w:after="160" w:line="300"/>
      </w:pPr>
      <w:r>
        <w:rPr>
          <w:rFonts w:ascii="Tenorite" w:cs="Tenorite" w:eastAsia="Tenorite" w:hAnsi="Tenorite"/>
          <w:b/>
          <w:bCs/>
          <w:color w:val="000000"/>
          <w:sz w:val="21"/>
          <w:szCs w:val="21"/>
        </w:rPr>
        <w:t xml:space="preserve">UJ-022 — Trouble Ticket Creation and Handling (general)</w:t>
      </w:r>
      <w:r>
        <w:rPr>
          <w:rFonts w:ascii="Tenorite" w:cs="Tenorite" w:eastAsia="Tenorite" w:hAnsi="Tenorite"/>
          <w:color w:val="000000"/>
          <w:sz w:val="21"/>
          <w:szCs w:val="21"/>
        </w:rPr>
        <w:t xml:space="preserve"> (journeys.md, UJ-022). Actors: Agent, System (eShop/NPAS/portal), MVA customer. Workflow: a ticket is created from one of four sources — agent-created, system-generated (from eShop/NPAS/portal), Open UI Excel, or customer-originated (MVA requests first pass through a validation queue before becoming an agent-created ticket) — then routed to a team/queue, assigned, and resolved with a resolution code. Business rule/exception: "ticket not submitted does not route to any queue." This general pattern underlies several specialized tickets documented as separate journeys: UJ-023 (auto-created/auto-closed "End Data Session" ticket that refreshes a long-running IN session and forces CDR generation), UJ-025 (Disconnection ticket with a retention-first business rule — the ticket must close with a specific resolution code before the disconnection order can be submitted), UJ-026 and UJ-110 (MNP Port-Out ticket auto-created from NPAS), and UJ-111 (Disconnection ticket where Retention Team closure auto-creates the disconnection order).</w:t>
      </w:r>
    </w:p>
    <w:p>
      <w:pPr>
        <w:spacing w:after="160" w:line="300"/>
      </w:pPr>
      <w:r>
        <w:rPr>
          <w:rFonts w:ascii="Tenorite" w:cs="Tenorite" w:eastAsia="Tenorite" w:hAnsi="Tenorite"/>
          <w:b/>
          <w:bCs/>
          <w:color w:val="000000"/>
          <w:sz w:val="21"/>
          <w:szCs w:val="21"/>
        </w:rPr>
        <w:t xml:space="preserve">UJ-019 — Transfer of Ownership/Transfer of Number (TON), Retail BAU</w:t>
      </w:r>
      <w:r>
        <w:rPr>
          <w:rFonts w:ascii="Tenorite" w:cs="Tenorite" w:eastAsia="Tenorite" w:hAnsi="Tenorite"/>
          <w:color w:val="000000"/>
          <w:sz w:val="21"/>
          <w:szCs w:val="21"/>
        </w:rPr>
        <w:t xml:space="preserve"> (journeys.md, UJ-019). Actors: Retail agent, existing customer (Party A), new customer (Party B), and four approval queues — Managing, CDM, BOQ, QATQ. Workflow: system/document validation for both parties → TON/prepaid-migration fee application → ticket routed through all four queues with mandatory approvals → SIM swap executed on success. Exception paths documented separately: UJ-024 (prepaid-only TON via Trouble Ticket, requiring four sequential CDM-team approvals as a fraud control, built after a documented case of a fraudster collecting money from two people for the same number), UJ-040 (Claim of Ownership variant, currently on hold ~2 years), and UJ-041 (third-party transfer on a cancelled ID, driven by an MOI file and BI-built hold-down/invalid-ID tables).</w:t>
      </w:r>
    </w:p>
    <w:p>
      <w:pPr>
        <w:spacing w:after="160" w:line="300"/>
      </w:pPr>
      <w:r>
        <w:rPr>
          <w:rFonts w:ascii="Tenorite" w:cs="Tenorite" w:eastAsia="Tenorite" w:hAnsi="Tenorite"/>
          <w:b/>
          <w:bCs/>
          <w:color w:val="000000"/>
          <w:sz w:val="21"/>
          <w:szCs w:val="21"/>
        </w:rPr>
        <w:t xml:space="preserve">UJ-031 — Fixed Line Activation (Business Process Walkthrough)</w:t>
      </w:r>
      <w:r>
        <w:rPr>
          <w:rFonts w:ascii="Tenorite" w:cs="Tenorite" w:eastAsia="Tenorite" w:hAnsi="Tenorite"/>
          <w:color w:val="000000"/>
          <w:sz w:val="21"/>
          <w:szCs w:val="21"/>
        </w:rPr>
        <w:t xml:space="preserve">, with guided-journey-level detail across UJ-045–055 (journeys.md). Actors: Retail/telesales agent, customer, field technician. Stages: location eligibility check (fiber, indoor 5G, outdoor 5G availability, clubbed with customer/QID lookup) → IPTV/plan selection (triple-play default) → number selection (auto-selected) → appointment booking → installation. Two documented exception flows: UJ-032 (KID-in-Use — order is held via a mandatory order task requiring a contract attachment as proof; if disputed, the order is cancelled) and UJ-033 (Splitter Full / BID Not Mapped — field technician, who has no direct Siebel access, raises a WFM child activity that creates a Siebel order task for the rollout team; splitter-full extends SLA to a minimum of 5 days). Manager-approval and reject/correction round-trips are documented in detail at UJ-049, UJ-050, and UJ-055 (e.g., rejection reason "ID image not clear" triggers an SMS and a dedicated "Order Correction" tile flow, UJ-051).</w:t>
      </w:r>
    </w:p>
    <w:p>
      <w:pPr>
        <w:pStyle w:val="Heading2"/>
        <w:spacing w:after="120" w:before="260"/>
      </w:pPr>
      <w:r>
        <w:t xml:space="preserve">3. Diagram Coverage</w:t>
      </w:r>
    </w:p>
    <w:p>
      <w:pPr>
        <w:spacing w:after="160" w:line="300"/>
      </w:pPr>
      <w:r>
        <w:rPr>
          <w:rFonts w:ascii="Tenorite" w:cs="Tenorite" w:eastAsia="Tenorite" w:hAnsi="Tenorite"/>
          <w:color w:val="000000"/>
          <w:sz w:val="21"/>
          <w:szCs w:val="21"/>
        </w:rPr>
        <w:t xml:space="preserve">vfq-dxp-app/reference/diagrams/</w:t>
      </w:r>
      <w:r>
        <w:rPr>
          <w:rFonts w:ascii="Tenorite" w:cs="Tenorite" w:eastAsia="Tenorite" w:hAnsi="Tenorite"/>
          <w:color w:val="000000"/>
          <w:sz w:val="21"/>
          <w:szCs w:val="21"/>
        </w:rPr>
        <w:t xml:space="preserve"> contains </w:t>
      </w:r>
      <w:r>
        <w:rPr>
          <w:rFonts w:ascii="Tenorite" w:cs="Tenorite" w:eastAsia="Tenorite" w:hAnsi="Tenorite"/>
          <w:b/>
          <w:bCs/>
          <w:color w:val="000000"/>
          <w:sz w:val="21"/>
          <w:szCs w:val="21"/>
        </w:rPr>
        <w:t xml:space="preserve">26 files</w:t>
      </w:r>
      <w:r>
        <w:rPr>
          <w:rFonts w:ascii="Tenorite" w:cs="Tenorite" w:eastAsia="Tenorite" w:hAnsi="Tenorite"/>
          <w:color w:val="000000"/>
          <w:sz w:val="21"/>
          <w:szCs w:val="21"/>
        </w:rPr>
        <w:t xml:space="preserve"> (24 standalone HTML process-flow diagrams, plus a </w:t>
      </w:r>
      <w:r>
        <w:rPr>
          <w:rFonts w:ascii="Tenorite" w:cs="Tenorite" w:eastAsia="Tenorite" w:hAnsi="Tenorite"/>
          <w:color w:val="000000"/>
          <w:sz w:val="21"/>
          <w:szCs w:val="21"/>
        </w:rPr>
        <w:t xml:space="preserve">workflow-extractions/</w:t>
      </w:r>
      <w:r>
        <w:rPr>
          <w:rFonts w:ascii="Tenorite" w:cs="Tenorite" w:eastAsia="Tenorite" w:hAnsi="Tenorite"/>
          <w:color w:val="000000"/>
          <w:sz w:val="21"/>
          <w:szCs w:val="21"/>
        </w:rPr>
        <w:t xml:space="preserve"> subdirectory and a </w:t>
      </w:r>
      <w:r>
        <w:rPr>
          <w:rFonts w:ascii="Tenorite" w:cs="Tenorite" w:eastAsia="Tenorite" w:hAnsi="Tenorite"/>
          <w:color w:val="000000"/>
          <w:sz w:val="21"/>
          <w:szCs w:val="21"/>
        </w:rPr>
        <w:t xml:space="preserve">.DS_Store</w:t>
      </w:r>
      <w:r>
        <w:rPr>
          <w:rFonts w:ascii="Tenorite" w:cs="Tenorite" w:eastAsia="Tenorite" w:hAnsi="Tenorite"/>
          <w:color w:val="000000"/>
          <w:sz w:val="21"/>
          <w:szCs w:val="21"/>
        </w:rPr>
        <w:t xml:space="preserve">). Two naming families exist:</w:t>
      </w:r>
    </w:p>
    <w:p>
      <w:pPr>
        <w:pStyle w:val="ListParagraph"/>
        <w:numPr>
          <w:ilvl w:val="0"/>
          <w:numId w:val="1"/>
        </w:numPr>
        <w:spacing w:after="80"/>
      </w:pPr>
      <w:r>
        <w:rPr>
          <w:rFonts w:ascii="Tenorite" w:cs="Tenorite" w:eastAsia="Tenorite" w:hAnsi="Tenorite"/>
          <w:b/>
          <w:bCs/>
          <w:color w:val="000000"/>
          <w:sz w:val="21"/>
          <w:szCs w:val="21"/>
        </w:rPr>
        <w:t xml:space="preserve">`uj0xx-*-process-flow.html`</w:t>
      </w:r>
      <w:r>
        <w:rPr>
          <w:rFonts w:ascii="Tenorite" w:cs="Tenorite" w:eastAsia="Tenorite" w:hAnsi="Tenorite"/>
          <w:color w:val="000000"/>
          <w:sz w:val="21"/>
          <w:szCs w:val="21"/>
        </w:rPr>
        <w:t xml:space="preserve"> (9 files) — tied directly to journey IDs: </w:t>
      </w:r>
      <w:r>
        <w:rPr>
          <w:rFonts w:ascii="Tenorite" w:cs="Tenorite" w:eastAsia="Tenorite" w:hAnsi="Tenorite"/>
          <w:color w:val="000000"/>
          <w:sz w:val="21"/>
          <w:szCs w:val="21"/>
        </w:rPr>
        <w:t xml:space="preserve">uj001-create-lead-process-flow.html</w:t>
      </w:r>
      <w:r>
        <w:rPr>
          <w:rFonts w:ascii="Tenorite" w:cs="Tenorite" w:eastAsia="Tenorite" w:hAnsi="Tenorite"/>
          <w:color w:val="000000"/>
          <w:sz w:val="21"/>
          <w:szCs w:val="21"/>
        </w:rPr>
        <w:t xml:space="preserve">, </w:t>
      </w:r>
      <w:r>
        <w:rPr>
          <w:rFonts w:ascii="Tenorite" w:cs="Tenorite" w:eastAsia="Tenorite" w:hAnsi="Tenorite"/>
          <w:color w:val="000000"/>
          <w:sz w:val="21"/>
          <w:szCs w:val="21"/>
        </w:rPr>
        <w:t xml:space="preserve">uj003-new-fixed-line-process-flow.html</w:t>
      </w:r>
      <w:r>
        <w:rPr>
          <w:rFonts w:ascii="Tenorite" w:cs="Tenorite" w:eastAsia="Tenorite" w:hAnsi="Tenorite"/>
          <w:color w:val="000000"/>
          <w:sz w:val="21"/>
          <w:szCs w:val="21"/>
        </w:rPr>
        <w:t xml:space="preserve">, </w:t>
      </w:r>
      <w:r>
        <w:rPr>
          <w:rFonts w:ascii="Tenorite" w:cs="Tenorite" w:eastAsia="Tenorite" w:hAnsi="Tenorite"/>
          <w:color w:val="000000"/>
          <w:sz w:val="21"/>
          <w:szCs w:val="21"/>
        </w:rPr>
        <w:t xml:space="preserve">uj004-new-fwa-process-flow.html</w:t>
      </w:r>
      <w:r>
        <w:rPr>
          <w:rFonts w:ascii="Tenorite" w:cs="Tenorite" w:eastAsia="Tenorite" w:hAnsi="Tenorite"/>
          <w:color w:val="000000"/>
          <w:sz w:val="21"/>
          <w:szCs w:val="21"/>
        </w:rPr>
        <w:t xml:space="preserve">, </w:t>
      </w:r>
      <w:r>
        <w:rPr>
          <w:rFonts w:ascii="Tenorite" w:cs="Tenorite" w:eastAsia="Tenorite" w:hAnsi="Tenorite"/>
          <w:color w:val="000000"/>
          <w:sz w:val="21"/>
          <w:szCs w:val="21"/>
        </w:rPr>
        <w:t xml:space="preserve">uj005-new-postpaid-process-flow.html</w:t>
      </w:r>
      <w:r>
        <w:rPr>
          <w:rFonts w:ascii="Tenorite" w:cs="Tenorite" w:eastAsia="Tenorite" w:hAnsi="Tenorite"/>
          <w:color w:val="000000"/>
          <w:sz w:val="21"/>
          <w:szCs w:val="21"/>
        </w:rPr>
        <w:t xml:space="preserve">, </w:t>
      </w:r>
      <w:r>
        <w:rPr>
          <w:rFonts w:ascii="Tenorite" w:cs="Tenorite" w:eastAsia="Tenorite" w:hAnsi="Tenorite"/>
          <w:color w:val="000000"/>
          <w:sz w:val="21"/>
          <w:szCs w:val="21"/>
        </w:rPr>
        <w:t xml:space="preserve">uj006-new-prepaid-process-flow.html</w:t>
      </w:r>
      <w:r>
        <w:rPr>
          <w:rFonts w:ascii="Tenorite" w:cs="Tenorite" w:eastAsia="Tenorite" w:hAnsi="Tenorite"/>
          <w:color w:val="000000"/>
          <w:sz w:val="21"/>
          <w:szCs w:val="21"/>
        </w:rPr>
        <w:t xml:space="preserve">, </w:t>
      </w:r>
      <w:r>
        <w:rPr>
          <w:rFonts w:ascii="Tenorite" w:cs="Tenorite" w:eastAsia="Tenorite" w:hAnsi="Tenorite"/>
          <w:color w:val="000000"/>
          <w:sz w:val="21"/>
          <w:szCs w:val="21"/>
        </w:rPr>
        <w:t xml:space="preserve">uj007-mnp-prepaid-process-flow.html</w:t>
      </w:r>
      <w:r>
        <w:rPr>
          <w:rFonts w:ascii="Tenorite" w:cs="Tenorite" w:eastAsia="Tenorite" w:hAnsi="Tenorite"/>
          <w:color w:val="000000"/>
          <w:sz w:val="21"/>
          <w:szCs w:val="21"/>
        </w:rPr>
        <w:t xml:space="preserve">, </w:t>
      </w:r>
      <w:r>
        <w:rPr>
          <w:rFonts w:ascii="Tenorite" w:cs="Tenorite" w:eastAsia="Tenorite" w:hAnsi="Tenorite"/>
          <w:color w:val="000000"/>
          <w:sz w:val="21"/>
          <w:szCs w:val="21"/>
        </w:rPr>
        <w:t xml:space="preserve">uj008-mnp-postpaid-process-flow.html</w:t>
      </w:r>
      <w:r>
        <w:rPr>
          <w:rFonts w:ascii="Tenorite" w:cs="Tenorite" w:eastAsia="Tenorite" w:hAnsi="Tenorite"/>
          <w:color w:val="000000"/>
          <w:sz w:val="21"/>
          <w:szCs w:val="21"/>
        </w:rPr>
        <w:t xml:space="preserve">, </w:t>
      </w:r>
      <w:r>
        <w:rPr>
          <w:rFonts w:ascii="Tenorite" w:cs="Tenorite" w:eastAsia="Tenorite" w:hAnsi="Tenorite"/>
          <w:color w:val="000000"/>
          <w:sz w:val="21"/>
          <w:szCs w:val="21"/>
        </w:rPr>
        <w:t xml:space="preserve">uj010-passport-to-qid-process-flow.html</w:t>
      </w:r>
      <w:r>
        <w:rPr>
          <w:rFonts w:ascii="Tenorite" w:cs="Tenorite" w:eastAsia="Tenorite" w:hAnsi="Tenorite"/>
          <w:color w:val="000000"/>
          <w:sz w:val="21"/>
          <w:szCs w:val="21"/>
        </w:rPr>
        <w:t xml:space="preserve">, </w:t>
      </w:r>
      <w:r>
        <w:rPr>
          <w:rFonts w:ascii="Tenorite" w:cs="Tenorite" w:eastAsia="Tenorite" w:hAnsi="Tenorite"/>
          <w:color w:val="000000"/>
          <w:sz w:val="21"/>
          <w:szCs w:val="21"/>
        </w:rPr>
        <w:t xml:space="preserve">uj011-sim-swap-process-flow.html</w:t>
      </w:r>
      <w:r>
        <w:rPr>
          <w:rFonts w:ascii="Tenorite" w:cs="Tenorite" w:eastAsia="Tenorite" w:hAnsi="Tenorite"/>
          <w:color w:val="000000"/>
          <w:sz w:val="21"/>
          <w:szCs w:val="21"/>
        </w:rPr>
        <w:t xml:space="preserve">.</w:t>
      </w:r>
    </w:p>
    <w:p>
      <w:pPr>
        <w:pStyle w:val="ListParagraph"/>
        <w:numPr>
          <w:ilvl w:val="0"/>
          <w:numId w:val="1"/>
        </w:numPr>
        <w:spacing w:after="80"/>
      </w:pPr>
      <w:r>
        <w:rPr>
          <w:rFonts w:ascii="Tenorite" w:cs="Tenorite" w:eastAsia="Tenorite" w:hAnsi="Tenorite"/>
          <w:b/>
          <w:bCs/>
          <w:color w:val="000000"/>
          <w:sz w:val="21"/>
          <w:szCs w:val="21"/>
        </w:rPr>
        <w:t xml:space="preserve">`catNNN-*.html`</w:t>
      </w:r>
      <w:r>
        <w:rPr>
          <w:rFonts w:ascii="Tenorite" w:cs="Tenorite" w:eastAsia="Tenorite" w:hAnsi="Tenorite"/>
          <w:color w:val="000000"/>
          <w:sz w:val="21"/>
          <w:szCs w:val="21"/>
        </w:rPr>
        <w:t xml:space="preserve"> (15 files) — a separate "cat" (catalogue) numbering, not directly matching UJ-IDs: </w:t>
      </w:r>
      <w:r>
        <w:rPr>
          <w:rFonts w:ascii="Tenorite" w:cs="Tenorite" w:eastAsia="Tenorite" w:hAnsi="Tenorite"/>
          <w:color w:val="000000"/>
          <w:sz w:val="21"/>
          <w:szCs w:val="21"/>
        </w:rPr>
        <w:t xml:space="preserve">cat008-prepaid-to-postpaid.html</w:t>
      </w:r>
      <w:r>
        <w:rPr>
          <w:rFonts w:ascii="Tenorite" w:cs="Tenorite" w:eastAsia="Tenorite" w:hAnsi="Tenorite"/>
          <w:color w:val="000000"/>
          <w:sz w:val="21"/>
          <w:szCs w:val="21"/>
        </w:rPr>
        <w:t xml:space="preserve">, </w:t>
      </w:r>
      <w:r>
        <w:rPr>
          <w:rFonts w:ascii="Tenorite" w:cs="Tenorite" w:eastAsia="Tenorite" w:hAnsi="Tenorite"/>
          <w:color w:val="000000"/>
          <w:sz w:val="21"/>
          <w:szCs w:val="21"/>
        </w:rPr>
        <w:t xml:space="preserve">cat013-rfs-fiber-home-move.html</w:t>
      </w:r>
      <w:r>
        <w:rPr>
          <w:rFonts w:ascii="Tenorite" w:cs="Tenorite" w:eastAsia="Tenorite" w:hAnsi="Tenorite"/>
          <w:color w:val="000000"/>
          <w:sz w:val="21"/>
          <w:szCs w:val="21"/>
        </w:rPr>
        <w:t xml:space="preserve">, </w:t>
      </w:r>
      <w:r>
        <w:rPr>
          <w:rFonts w:ascii="Tenorite" w:cs="Tenorite" w:eastAsia="Tenorite" w:hAnsi="Tenorite"/>
          <w:color w:val="000000"/>
          <w:sz w:val="21"/>
          <w:szCs w:val="21"/>
        </w:rPr>
        <w:t xml:space="preserve">cat022-postpaid-to-prepaid.html</w:t>
      </w:r>
      <w:r>
        <w:rPr>
          <w:rFonts w:ascii="Tenorite" w:cs="Tenorite" w:eastAsia="Tenorite" w:hAnsi="Tenorite"/>
          <w:color w:val="000000"/>
          <w:sz w:val="21"/>
          <w:szCs w:val="21"/>
        </w:rPr>
        <w:t xml:space="preserve">, </w:t>
      </w:r>
      <w:r>
        <w:rPr>
          <w:rFonts w:ascii="Tenorite" w:cs="Tenorite" w:eastAsia="Tenorite" w:hAnsi="Tenorite"/>
          <w:color w:val="000000"/>
          <w:sz w:val="21"/>
          <w:szCs w:val="21"/>
        </w:rPr>
        <w:t xml:space="preserve">cat023-plan-change.html</w:t>
      </w:r>
      <w:r>
        <w:rPr>
          <w:rFonts w:ascii="Tenorite" w:cs="Tenorite" w:eastAsia="Tenorite" w:hAnsi="Tenorite"/>
          <w:color w:val="000000"/>
          <w:sz w:val="21"/>
          <w:szCs w:val="21"/>
        </w:rPr>
        <w:t xml:space="preserve">, </w:t>
      </w:r>
      <w:r>
        <w:rPr>
          <w:rFonts w:ascii="Tenorite" w:cs="Tenorite" w:eastAsia="Tenorite" w:hAnsi="Tenorite"/>
          <w:color w:val="000000"/>
          <w:sz w:val="21"/>
          <w:szCs w:val="21"/>
        </w:rPr>
        <w:t xml:space="preserve">cat025-ton.html</w:t>
      </w:r>
      <w:r>
        <w:rPr>
          <w:rFonts w:ascii="Tenorite" w:cs="Tenorite" w:eastAsia="Tenorite" w:hAnsi="Tenorite"/>
          <w:color w:val="000000"/>
          <w:sz w:val="21"/>
          <w:szCs w:val="21"/>
        </w:rPr>
        <w:t xml:space="preserve">, </w:t>
      </w:r>
      <w:r>
        <w:rPr>
          <w:rFonts w:ascii="Tenorite" w:cs="Tenorite" w:eastAsia="Tenorite" w:hAnsi="Tenorite"/>
          <w:color w:val="000000"/>
          <w:sz w:val="21"/>
          <w:szCs w:val="21"/>
        </w:rPr>
        <w:t xml:space="preserve">cat030-adjustment-approval.html</w:t>
      </w:r>
      <w:r>
        <w:rPr>
          <w:rFonts w:ascii="Tenorite" w:cs="Tenorite" w:eastAsia="Tenorite" w:hAnsi="Tenorite"/>
          <w:color w:val="000000"/>
          <w:sz w:val="21"/>
          <w:szCs w:val="21"/>
        </w:rPr>
        <w:t xml:space="preserve">, </w:t>
      </w:r>
      <w:r>
        <w:rPr>
          <w:rFonts w:ascii="Tenorite" w:cs="Tenorite" w:eastAsia="Tenorite" w:hAnsi="Tenorite"/>
          <w:color w:val="000000"/>
          <w:sz w:val="21"/>
          <w:szCs w:val="21"/>
        </w:rPr>
        <w:t xml:space="preserve">cat041-create-ticket.html</w:t>
      </w:r>
      <w:r>
        <w:rPr>
          <w:rFonts w:ascii="Tenorite" w:cs="Tenorite" w:eastAsia="Tenorite" w:hAnsi="Tenorite"/>
          <w:color w:val="000000"/>
          <w:sz w:val="21"/>
          <w:szCs w:val="21"/>
        </w:rPr>
        <w:t xml:space="preserve">, </w:t>
      </w:r>
      <w:r>
        <w:rPr>
          <w:rFonts w:ascii="Tenorite" w:cs="Tenorite" w:eastAsia="Tenorite" w:hAnsi="Tenorite"/>
          <w:color w:val="000000"/>
          <w:sz w:val="21"/>
          <w:szCs w:val="21"/>
        </w:rPr>
        <w:t xml:space="preserve">cat071-moi-validation.html</w:t>
      </w:r>
      <w:r>
        <w:rPr>
          <w:rFonts w:ascii="Tenorite" w:cs="Tenorite" w:eastAsia="Tenorite" w:hAnsi="Tenorite"/>
          <w:color w:val="000000"/>
          <w:sz w:val="21"/>
          <w:szCs w:val="21"/>
        </w:rPr>
        <w:t xml:space="preserve">, </w:t>
      </w:r>
      <w:r>
        <w:rPr>
          <w:rFonts w:ascii="Tenorite" w:cs="Tenorite" w:eastAsia="Tenorite" w:hAnsi="Tenorite"/>
          <w:color w:val="000000"/>
          <w:sz w:val="21"/>
          <w:szCs w:val="21"/>
        </w:rPr>
        <w:t xml:space="preserve">cat089-ton-trouble-ticket-approval.html</w:t>
      </w:r>
      <w:r>
        <w:rPr>
          <w:rFonts w:ascii="Tenorite" w:cs="Tenorite" w:eastAsia="Tenorite" w:hAnsi="Tenorite"/>
          <w:color w:val="000000"/>
          <w:sz w:val="21"/>
          <w:szCs w:val="21"/>
        </w:rPr>
        <w:t xml:space="preserve">, </w:t>
      </w:r>
      <w:r>
        <w:rPr>
          <w:rFonts w:ascii="Tenorite" w:cs="Tenorite" w:eastAsia="Tenorite" w:hAnsi="Tenorite"/>
          <w:color w:val="000000"/>
          <w:sz w:val="21"/>
          <w:szCs w:val="21"/>
        </w:rPr>
        <w:t xml:space="preserve">cat099-handle-port-out-tickets.html</w:t>
      </w:r>
      <w:r>
        <w:rPr>
          <w:rFonts w:ascii="Tenorite" w:cs="Tenorite" w:eastAsia="Tenorite" w:hAnsi="Tenorite"/>
          <w:color w:val="000000"/>
          <w:sz w:val="21"/>
          <w:szCs w:val="21"/>
        </w:rPr>
        <w:t xml:space="preserve">, </w:t>
      </w:r>
      <w:r>
        <w:rPr>
          <w:rFonts w:ascii="Tenorite" w:cs="Tenorite" w:eastAsia="Tenorite" w:hAnsi="Tenorite"/>
          <w:color w:val="000000"/>
          <w:sz w:val="21"/>
          <w:szCs w:val="21"/>
        </w:rPr>
        <w:t xml:space="preserve">cat110-manage-bill-limit.html</w:t>
      </w:r>
      <w:r>
        <w:rPr>
          <w:rFonts w:ascii="Tenorite" w:cs="Tenorite" w:eastAsia="Tenorite" w:hAnsi="Tenorite"/>
          <w:color w:val="000000"/>
          <w:sz w:val="21"/>
          <w:szCs w:val="21"/>
        </w:rPr>
        <w:t xml:space="preserve">, </w:t>
      </w:r>
      <w:r>
        <w:rPr>
          <w:rFonts w:ascii="Tenorite" w:cs="Tenorite" w:eastAsia="Tenorite" w:hAnsi="Tenorite"/>
          <w:color w:val="000000"/>
          <w:sz w:val="21"/>
          <w:szCs w:val="21"/>
        </w:rPr>
        <w:t xml:space="preserve">cat116-fdo-order.html</w:t>
      </w:r>
      <w:r>
        <w:rPr>
          <w:rFonts w:ascii="Tenorite" w:cs="Tenorite" w:eastAsia="Tenorite" w:hAnsi="Tenorite"/>
          <w:color w:val="000000"/>
          <w:sz w:val="21"/>
          <w:szCs w:val="21"/>
        </w:rPr>
        <w:t xml:space="preserve">, </w:t>
      </w:r>
      <w:r>
        <w:rPr>
          <w:rFonts w:ascii="Tenorite" w:cs="Tenorite" w:eastAsia="Tenorite" w:hAnsi="Tenorite"/>
          <w:color w:val="000000"/>
          <w:sz w:val="21"/>
          <w:szCs w:val="21"/>
        </w:rPr>
        <w:t xml:space="preserve">cat117-pmn-suspension.html</w:t>
      </w:r>
      <w:r>
        <w:rPr>
          <w:rFonts w:ascii="Tenorite" w:cs="Tenorite" w:eastAsia="Tenorite" w:hAnsi="Tenorite"/>
          <w:color w:val="000000"/>
          <w:sz w:val="21"/>
          <w:szCs w:val="21"/>
        </w:rPr>
        <w:t xml:space="preserve">, </w:t>
      </w:r>
      <w:r>
        <w:rPr>
          <w:rFonts w:ascii="Tenorite" w:cs="Tenorite" w:eastAsia="Tenorite" w:hAnsi="Tenorite"/>
          <w:color w:val="000000"/>
          <w:sz w:val="21"/>
          <w:szCs w:val="21"/>
        </w:rPr>
        <w:t xml:space="preserve">cat124-resume-suspension.html</w:t>
      </w:r>
      <w:r>
        <w:rPr>
          <w:rFonts w:ascii="Tenorite" w:cs="Tenorite" w:eastAsia="Tenorite" w:hAnsi="Tenorite"/>
          <w:color w:val="000000"/>
          <w:sz w:val="21"/>
          <w:szCs w:val="21"/>
        </w:rPr>
        <w:t xml:space="preserve">, </w:t>
      </w:r>
      <w:r>
        <w:rPr>
          <w:rFonts w:ascii="Tenorite" w:cs="Tenorite" w:eastAsia="Tenorite" w:hAnsi="Tenorite"/>
          <w:color w:val="000000"/>
          <w:sz w:val="21"/>
          <w:szCs w:val="21"/>
        </w:rPr>
        <w:t xml:space="preserve">cat136-update-credit-limit.html</w:t>
      </w:r>
      <w:r>
        <w:rPr>
          <w:rFonts w:ascii="Tenorite" w:cs="Tenorite" w:eastAsia="Tenorite" w:hAnsi="Tenorite"/>
          <w:color w:val="000000"/>
          <w:sz w:val="21"/>
          <w:szCs w:val="21"/>
        </w:rPr>
        <w:t xml:space="preserve">, </w:t>
      </w:r>
      <w:r>
        <w:rPr>
          <w:rFonts w:ascii="Tenorite" w:cs="Tenorite" w:eastAsia="Tenorite" w:hAnsi="Tenorite"/>
          <w:color w:val="000000"/>
          <w:sz w:val="21"/>
          <w:szCs w:val="21"/>
        </w:rPr>
        <w:t xml:space="preserve">cat154-changing-bill-cycles.html</w:t>
      </w:r>
      <w:r>
        <w:rPr>
          <w:rFonts w:ascii="Tenorite" w:cs="Tenorite" w:eastAsia="Tenorite" w:hAnsi="Tenorite"/>
          <w:color w:val="000000"/>
          <w:sz w:val="21"/>
          <w:szCs w:val="21"/>
        </w:rPr>
        <w:t xml:space="preserve">, </w:t>
      </w:r>
      <w:r>
        <w:rPr>
          <w:rFonts w:ascii="Tenorite" w:cs="Tenorite" w:eastAsia="Tenorite" w:hAnsi="Tenorite"/>
          <w:color w:val="000000"/>
          <w:sz w:val="21"/>
          <w:szCs w:val="21"/>
        </w:rPr>
        <w:t xml:space="preserve">cat159-disconnect-msisdn.html</w:t>
      </w:r>
      <w:r>
        <w:rPr>
          <w:rFonts w:ascii="Tenorite" w:cs="Tenorite" w:eastAsia="Tenorite" w:hAnsi="Tenorite"/>
          <w:color w:val="000000"/>
          <w:sz w:val="21"/>
          <w:szCs w:val="21"/>
        </w:rPr>
        <w:t xml:space="preserve">.</w:t>
      </w:r>
    </w:p>
    <w:p>
      <w:pPr>
        <w:spacing w:after="160" w:line="300"/>
      </w:pPr>
      <w:r>
        <w:rPr>
          <w:rFonts w:ascii="Tenorite" w:cs="Tenorite" w:eastAsia="Tenorite" w:hAnsi="Tenorite"/>
          <w:color w:val="000000"/>
          <w:sz w:val="21"/>
          <w:szCs w:val="21"/>
        </w:rPr>
        <w:t xml:space="preserve">Taken together, only about </w:t>
      </w:r>
      <w:r>
        <w:rPr>
          <w:rFonts w:ascii="Tenorite" w:cs="Tenorite" w:eastAsia="Tenorite" w:hAnsi="Tenorite"/>
          <w:b/>
          <w:bCs/>
          <w:color w:val="000000"/>
          <w:sz w:val="21"/>
          <w:szCs w:val="21"/>
        </w:rPr>
        <w:t xml:space="preserve">24 of the 111 journeys</w:t>
      </w:r>
      <w:r>
        <w:rPr>
          <w:rFonts w:ascii="Tenorite" w:cs="Tenorite" w:eastAsia="Tenorite" w:hAnsi="Tenorite"/>
          <w:color w:val="000000"/>
          <w:sz w:val="21"/>
          <w:szCs w:val="21"/>
        </w:rPr>
        <w:t xml:space="preserve"> (roughly 22%) have a dedicated visual process-flow diagram. Core, high-volume journeys deep-dived above with direct diagram coverage include New Postpaid (</w:t>
      </w:r>
      <w:r>
        <w:rPr>
          <w:rFonts w:ascii="Tenorite" w:cs="Tenorite" w:eastAsia="Tenorite" w:hAnsi="Tenorite"/>
          <w:color w:val="000000"/>
          <w:sz w:val="21"/>
          <w:szCs w:val="21"/>
        </w:rPr>
        <w:t xml:space="preserve">uj005</w:t>
      </w:r>
      <w:r>
        <w:rPr>
          <w:rFonts w:ascii="Tenorite" w:cs="Tenorite" w:eastAsia="Tenorite" w:hAnsi="Tenorite"/>
          <w:color w:val="000000"/>
          <w:sz w:val="21"/>
          <w:szCs w:val="21"/>
        </w:rPr>
        <w:t xml:space="preserve">), New Prepaid (</w:t>
      </w:r>
      <w:r>
        <w:rPr>
          <w:rFonts w:ascii="Tenorite" w:cs="Tenorite" w:eastAsia="Tenorite" w:hAnsi="Tenorite"/>
          <w:color w:val="000000"/>
          <w:sz w:val="21"/>
          <w:szCs w:val="21"/>
        </w:rPr>
        <w:t xml:space="preserve">uj006</w:t>
      </w:r>
      <w:r>
        <w:rPr>
          <w:rFonts w:ascii="Tenorite" w:cs="Tenorite" w:eastAsia="Tenorite" w:hAnsi="Tenorite"/>
          <w:color w:val="000000"/>
          <w:sz w:val="21"/>
          <w:szCs w:val="21"/>
        </w:rPr>
        <w:t xml:space="preserve">), MNP Prepaid/Postpaid (</w:t>
      </w:r>
      <w:r>
        <w:rPr>
          <w:rFonts w:ascii="Tenorite" w:cs="Tenorite" w:eastAsia="Tenorite" w:hAnsi="Tenorite"/>
          <w:color w:val="000000"/>
          <w:sz w:val="21"/>
          <w:szCs w:val="21"/>
        </w:rPr>
        <w:t xml:space="preserve">uj007</w:t>
      </w:r>
      <w:r>
        <w:rPr>
          <w:rFonts w:ascii="Tenorite" w:cs="Tenorite" w:eastAsia="Tenorite" w:hAnsi="Tenorite"/>
          <w:color w:val="000000"/>
          <w:sz w:val="21"/>
          <w:szCs w:val="21"/>
        </w:rPr>
        <w:t xml:space="preserve">/</w:t>
      </w:r>
      <w:r>
        <w:rPr>
          <w:rFonts w:ascii="Tenorite" w:cs="Tenorite" w:eastAsia="Tenorite" w:hAnsi="Tenorite"/>
          <w:color w:val="000000"/>
          <w:sz w:val="21"/>
          <w:szCs w:val="21"/>
        </w:rPr>
        <w:t xml:space="preserve">uj008</w:t>
      </w:r>
      <w:r>
        <w:rPr>
          <w:rFonts w:ascii="Tenorite" w:cs="Tenorite" w:eastAsia="Tenorite" w:hAnsi="Tenorite"/>
          <w:color w:val="000000"/>
          <w:sz w:val="21"/>
          <w:szCs w:val="21"/>
        </w:rPr>
        <w:t xml:space="preserve">), New Fixed Line (</w:t>
      </w:r>
      <w:r>
        <w:rPr>
          <w:rFonts w:ascii="Tenorite" w:cs="Tenorite" w:eastAsia="Tenorite" w:hAnsi="Tenorite"/>
          <w:color w:val="000000"/>
          <w:sz w:val="21"/>
          <w:szCs w:val="21"/>
        </w:rPr>
        <w:t xml:space="preserve">uj003</w:t>
      </w:r>
      <w:r>
        <w:rPr>
          <w:rFonts w:ascii="Tenorite" w:cs="Tenorite" w:eastAsia="Tenorite" w:hAnsi="Tenorite"/>
          <w:color w:val="000000"/>
          <w:sz w:val="21"/>
          <w:szCs w:val="21"/>
        </w:rPr>
        <w:t xml:space="preserve">), New FWA (</w:t>
      </w:r>
      <w:r>
        <w:rPr>
          <w:rFonts w:ascii="Tenorite" w:cs="Tenorite" w:eastAsia="Tenorite" w:hAnsi="Tenorite"/>
          <w:color w:val="000000"/>
          <w:sz w:val="21"/>
          <w:szCs w:val="21"/>
        </w:rPr>
        <w:t xml:space="preserve">uj004</w:t>
      </w:r>
      <w:r>
        <w:rPr>
          <w:rFonts w:ascii="Tenorite" w:cs="Tenorite" w:eastAsia="Tenorite" w:hAnsi="Tenorite"/>
          <w:color w:val="000000"/>
          <w:sz w:val="21"/>
          <w:szCs w:val="21"/>
        </w:rPr>
        <w:t xml:space="preserve">), SIM Swap (</w:t>
      </w:r>
      <w:r>
        <w:rPr>
          <w:rFonts w:ascii="Tenorite" w:cs="Tenorite" w:eastAsia="Tenorite" w:hAnsi="Tenorite"/>
          <w:color w:val="000000"/>
          <w:sz w:val="21"/>
          <w:szCs w:val="21"/>
        </w:rPr>
        <w:t xml:space="preserve">uj011</w:t>
      </w:r>
      <w:r>
        <w:rPr>
          <w:rFonts w:ascii="Tenorite" w:cs="Tenorite" w:eastAsia="Tenorite" w:hAnsi="Tenorite"/>
          <w:color w:val="000000"/>
          <w:sz w:val="21"/>
          <w:szCs w:val="21"/>
        </w:rPr>
        <w:t xml:space="preserve">), Lead creation (</w:t>
      </w:r>
      <w:r>
        <w:rPr>
          <w:rFonts w:ascii="Tenorite" w:cs="Tenorite" w:eastAsia="Tenorite" w:hAnsi="Tenorite"/>
          <w:color w:val="000000"/>
          <w:sz w:val="21"/>
          <w:szCs w:val="21"/>
        </w:rPr>
        <w:t xml:space="preserve">uj001</w:t>
      </w:r>
      <w:r>
        <w:rPr>
          <w:rFonts w:ascii="Tenorite" w:cs="Tenorite" w:eastAsia="Tenorite" w:hAnsi="Tenorite"/>
          <w:color w:val="000000"/>
          <w:sz w:val="21"/>
          <w:szCs w:val="21"/>
        </w:rPr>
        <w:t xml:space="preserve">), Passport-to-QID (</w:t>
      </w:r>
      <w:r>
        <w:rPr>
          <w:rFonts w:ascii="Tenorite" w:cs="Tenorite" w:eastAsia="Tenorite" w:hAnsi="Tenorite"/>
          <w:color w:val="000000"/>
          <w:sz w:val="21"/>
          <w:szCs w:val="21"/>
        </w:rPr>
        <w:t xml:space="preserve">uj010</w:t>
      </w:r>
      <w:r>
        <w:rPr>
          <w:rFonts w:ascii="Tenorite" w:cs="Tenorite" w:eastAsia="Tenorite" w:hAnsi="Tenorite"/>
          <w:color w:val="000000"/>
          <w:sz w:val="21"/>
          <w:szCs w:val="21"/>
        </w:rPr>
        <w:t xml:space="preserve">), Prepaid↔Postpaid conversion both directions (</w:t>
      </w:r>
      <w:r>
        <w:rPr>
          <w:rFonts w:ascii="Tenorite" w:cs="Tenorite" w:eastAsia="Tenorite" w:hAnsi="Tenorite"/>
          <w:color w:val="000000"/>
          <w:sz w:val="21"/>
          <w:szCs w:val="21"/>
        </w:rPr>
        <w:t xml:space="preserve">cat008</w:t>
      </w:r>
      <w:r>
        <w:rPr>
          <w:rFonts w:ascii="Tenorite" w:cs="Tenorite" w:eastAsia="Tenorite" w:hAnsi="Tenorite"/>
          <w:color w:val="000000"/>
          <w:sz w:val="21"/>
          <w:szCs w:val="21"/>
        </w:rPr>
        <w:t xml:space="preserve">, </w:t>
      </w:r>
      <w:r>
        <w:rPr>
          <w:rFonts w:ascii="Tenorite" w:cs="Tenorite" w:eastAsia="Tenorite" w:hAnsi="Tenorite"/>
          <w:color w:val="000000"/>
          <w:sz w:val="21"/>
          <w:szCs w:val="21"/>
        </w:rPr>
        <w:t xml:space="preserve">cat022</w:t>
      </w:r>
      <w:r>
        <w:rPr>
          <w:rFonts w:ascii="Tenorite" w:cs="Tenorite" w:eastAsia="Tenorite" w:hAnsi="Tenorite"/>
          <w:color w:val="000000"/>
          <w:sz w:val="21"/>
          <w:szCs w:val="21"/>
        </w:rPr>
        <w:t xml:space="preserve">), TON (</w:t>
      </w:r>
      <w:r>
        <w:rPr>
          <w:rFonts w:ascii="Tenorite" w:cs="Tenorite" w:eastAsia="Tenorite" w:hAnsi="Tenorite"/>
          <w:color w:val="000000"/>
          <w:sz w:val="21"/>
          <w:szCs w:val="21"/>
        </w:rPr>
        <w:t xml:space="preserve">cat025</w:t>
      </w:r>
      <w:r>
        <w:rPr>
          <w:rFonts w:ascii="Tenorite" w:cs="Tenorite" w:eastAsia="Tenorite" w:hAnsi="Tenorite"/>
          <w:color w:val="000000"/>
          <w:sz w:val="21"/>
          <w:szCs w:val="21"/>
        </w:rPr>
        <w:t xml:space="preserve">, </w:t>
      </w:r>
      <w:r>
        <w:rPr>
          <w:rFonts w:ascii="Tenorite" w:cs="Tenorite" w:eastAsia="Tenorite" w:hAnsi="Tenorite"/>
          <w:color w:val="000000"/>
          <w:sz w:val="21"/>
          <w:szCs w:val="21"/>
        </w:rPr>
        <w:t xml:space="preserve">cat089</w:t>
      </w:r>
      <w:r>
        <w:rPr>
          <w:rFonts w:ascii="Tenorite" w:cs="Tenorite" w:eastAsia="Tenorite" w:hAnsi="Tenorite"/>
          <w:color w:val="000000"/>
          <w:sz w:val="21"/>
          <w:szCs w:val="21"/>
        </w:rPr>
        <w:t xml:space="preserve">), Home Move (</w:t>
      </w:r>
      <w:r>
        <w:rPr>
          <w:rFonts w:ascii="Tenorite" w:cs="Tenorite" w:eastAsia="Tenorite" w:hAnsi="Tenorite"/>
          <w:color w:val="000000"/>
          <w:sz w:val="21"/>
          <w:szCs w:val="21"/>
        </w:rPr>
        <w:t xml:space="preserve">cat013</w:t>
      </w:r>
      <w:r>
        <w:rPr>
          <w:rFonts w:ascii="Tenorite" w:cs="Tenorite" w:eastAsia="Tenorite" w:hAnsi="Tenorite"/>
          <w:color w:val="000000"/>
          <w:sz w:val="21"/>
          <w:szCs w:val="21"/>
        </w:rPr>
        <w:t xml:space="preserve">), and Trouble Ticket creation/port-out handling (</w:t>
      </w:r>
      <w:r>
        <w:rPr>
          <w:rFonts w:ascii="Tenorite" w:cs="Tenorite" w:eastAsia="Tenorite" w:hAnsi="Tenorite"/>
          <w:color w:val="000000"/>
          <w:sz w:val="21"/>
          <w:szCs w:val="21"/>
        </w:rPr>
        <w:t xml:space="preserve">cat041</w:t>
      </w:r>
      <w:r>
        <w:rPr>
          <w:rFonts w:ascii="Tenorite" w:cs="Tenorite" w:eastAsia="Tenorite" w:hAnsi="Tenorite"/>
          <w:color w:val="000000"/>
          <w:sz w:val="21"/>
          <w:szCs w:val="21"/>
        </w:rPr>
        <w:t xml:space="preserve">, </w:t>
      </w:r>
      <w:r>
        <w:rPr>
          <w:rFonts w:ascii="Tenorite" w:cs="Tenorite" w:eastAsia="Tenorite" w:hAnsi="Tenorite"/>
          <w:color w:val="000000"/>
          <w:sz w:val="21"/>
          <w:szCs w:val="21"/>
        </w:rPr>
        <w:t xml:space="preserve">cat099</w:t>
      </w:r>
      <w:r>
        <w:rPr>
          <w:rFonts w:ascii="Tenorite" w:cs="Tenorite" w:eastAsia="Tenorite" w:hAnsi="Tenorite"/>
          <w:color w:val="000000"/>
          <w:sz w:val="21"/>
          <w:szCs w:val="21"/>
        </w:rPr>
        <w:t xml:space="preserve">). Journeys documented in detail in journeys.md but with </w:t>
      </w:r>
      <w:r>
        <w:rPr>
          <w:rFonts w:ascii="Tenorite" w:cs="Tenorite" w:eastAsia="Tenorite" w:hAnsi="Tenorite"/>
          <w:b/>
          <w:bCs/>
          <w:color w:val="000000"/>
          <w:sz w:val="21"/>
          <w:szCs w:val="21"/>
        </w:rPr>
        <w:t xml:space="preserve">no matching diagram file</w:t>
      </w:r>
      <w:r>
        <w:rPr>
          <w:rFonts w:ascii="Tenorite" w:cs="Tenorite" w:eastAsia="Tenorite" w:hAnsi="Tenorite"/>
          <w:color w:val="000000"/>
          <w:sz w:val="21"/>
          <w:szCs w:val="21"/>
        </w:rPr>
        <w:t xml:space="preserve"> include most of the granular guided-journey variants (e.g., UJ-045–066, UJ-072–084 — the B2B2C, HRN, instant-activation, and approval/rejection permutations of Fixed Line/FWA/Postpaid activation), all Enterprise/IoT journeys (UJ-003–013), and the BRSD-sourced fiber journeys UJ-096–102.</w:t>
      </w:r>
    </w:p>
    <w:p>
      <w:pPr>
        <w:pStyle w:val="Heading2"/>
        <w:spacing w:after="120" w:before="260"/>
      </w:pPr>
      <w:r>
        <w:t xml:space="preserve">4. Test Scenario Coverage</w:t>
      </w:r>
    </w:p>
    <w:p>
      <w:pPr>
        <w:spacing w:after="160" w:line="300"/>
      </w:pPr>
      <w:r>
        <w:rPr>
          <w:rFonts w:ascii="Tenorite" w:cs="Tenorite" w:eastAsia="Tenorite" w:hAnsi="Tenorite"/>
          <w:color w:val="000000"/>
          <w:sz w:val="21"/>
          <w:szCs w:val="21"/>
        </w:rPr>
        <w:t xml:space="preserve">The test scenario catalogue (test-scenario-catalogue.md, header and §1) reports </w:t>
      </w:r>
      <w:r>
        <w:rPr>
          <w:rFonts w:ascii="Tenorite" w:cs="Tenorite" w:eastAsia="Tenorite" w:hAnsi="Tenorite"/>
          <w:b/>
          <w:bCs/>
          <w:color w:val="000000"/>
          <w:sz w:val="21"/>
          <w:szCs w:val="21"/>
        </w:rPr>
        <w:t xml:space="preserve">775 total scenarios</w:t>
      </w:r>
      <w:r>
        <w:rPr>
          <w:rFonts w:ascii="Tenorite" w:cs="Tenorite" w:eastAsia="Tenorite" w:hAnsi="Tenorite"/>
          <w:color w:val="000000"/>
          <w:sz w:val="21"/>
          <w:szCs w:val="21"/>
        </w:rPr>
        <w:t xml:space="preserve">, generated two ways:</w:t>
      </w:r>
    </w:p>
    <w:p>
      <w:pPr>
        <w:pStyle w:val="ListParagraph"/>
        <w:numPr>
          <w:ilvl w:val="0"/>
          <w:numId w:val="1"/>
        </w:numPr>
        <w:spacing w:after="80"/>
      </w:pPr>
      <w:r>
        <w:rPr>
          <w:rFonts w:ascii="Tenorite" w:cs="Tenorite" w:eastAsia="Tenorite" w:hAnsi="Tenorite"/>
          <w:b/>
          <w:bCs/>
          <w:color w:val="000000"/>
          <w:sz w:val="21"/>
          <w:szCs w:val="21"/>
        </w:rPr>
        <w:t xml:space="preserve">493 module-level scenarios</w:t>
      </w:r>
      <w:r>
        <w:rPr>
          <w:rFonts w:ascii="Tenorite" w:cs="Tenorite" w:eastAsia="Tenorite" w:hAnsi="Tenorite"/>
          <w:color w:val="000000"/>
          <w:sz w:val="21"/>
          <w:szCs w:val="21"/>
        </w:rPr>
        <w:t xml:space="preserve"> (Positive: 169, Negative: 140, Workflow: 92, Validation: 62, Persona: 30), produced by 16 parallel agents — one per functional module — each required to cite every requirement ID in its module at least once, drawing directly from </w:t>
      </w:r>
      <w:r>
        <w:rPr>
          <w:rFonts w:ascii="Tenorite" w:cs="Tenorite" w:eastAsia="Tenorite" w:hAnsi="Tenorite"/>
          <w:color w:val="000000"/>
          <w:sz w:val="21"/>
          <w:szCs w:val="21"/>
        </w:rPr>
        <w:t xml:space="preserve">requirements.md</w:t>
      </w:r>
      <w:r>
        <w:rPr>
          <w:rFonts w:ascii="Tenorite" w:cs="Tenorite" w:eastAsia="Tenorite" w:hAnsi="Tenorite"/>
          <w:color w:val="000000"/>
          <w:sz w:val="21"/>
          <w:szCs w:val="21"/>
        </w:rPr>
        <w:t xml:space="preserve"> and </w:t>
      </w:r>
      <w:r>
        <w:rPr>
          <w:rFonts w:ascii="Tenorite" w:cs="Tenorite" w:eastAsia="Tenorite" w:hAnsi="Tenorite"/>
          <w:color w:val="000000"/>
          <w:sz w:val="21"/>
          <w:szCs w:val="21"/>
        </w:rPr>
        <w:t xml:space="preserve">journeys.md</w:t>
      </w:r>
      <w:r>
        <w:rPr>
          <w:rFonts w:ascii="Tenorite" w:cs="Tenorite" w:eastAsia="Tenorite" w:hAnsi="Tenorite"/>
          <w:color w:val="000000"/>
          <w:sz w:val="21"/>
          <w:szCs w:val="21"/>
        </w:rPr>
        <w:t xml:space="preserve">.</w:t>
      </w:r>
    </w:p>
    <w:p>
      <w:pPr>
        <w:pStyle w:val="ListParagraph"/>
        <w:numPr>
          <w:ilvl w:val="0"/>
          <w:numId w:val="1"/>
        </w:numPr>
        <w:spacing w:after="80"/>
      </w:pPr>
      <w:r>
        <w:rPr>
          <w:rFonts w:ascii="Tenorite" w:cs="Tenorite" w:eastAsia="Tenorite" w:hAnsi="Tenorite"/>
          <w:b/>
          <w:bCs/>
          <w:color w:val="000000"/>
          <w:sz w:val="21"/>
          <w:szCs w:val="21"/>
        </w:rPr>
        <w:t xml:space="preserve">282 deterministic scenarios</w:t>
      </w:r>
      <w:r>
        <w:rPr>
          <w:rFonts w:ascii="Tenorite" w:cs="Tenorite" w:eastAsia="Tenorite" w:hAnsi="Tenorite"/>
          <w:color w:val="000000"/>
          <w:sz w:val="21"/>
          <w:szCs w:val="21"/>
        </w:rPr>
        <w:t xml:space="preserve">, computed mechanically (no LLM judgment) from structured config rather than narrative documents: </w:t>
      </w:r>
      <w:r>
        <w:rPr>
          <w:rFonts w:ascii="Tenorite" w:cs="Tenorite" w:eastAsia="Tenorite" w:hAnsi="Tenorite"/>
          <w:b/>
          <w:bCs/>
          <w:color w:val="000000"/>
          <w:sz w:val="21"/>
          <w:szCs w:val="21"/>
        </w:rPr>
        <w:t xml:space="preserve">213 Navigation</w:t>
      </w:r>
      <w:r>
        <w:rPr>
          <w:rFonts w:ascii="Tenorite" w:cs="Tenorite" w:eastAsia="Tenorite" w:hAnsi="Tenorite"/>
          <w:color w:val="000000"/>
          <w:sz w:val="21"/>
          <w:szCs w:val="21"/>
        </w:rPr>
        <w:t xml:space="preserve"> scenarios from </w:t>
      </w:r>
      <w:r>
        <w:rPr>
          <w:rFonts w:ascii="Tenorite" w:cs="Tenorite" w:eastAsia="Tenorite" w:hAnsi="Tenorite"/>
          <w:color w:val="000000"/>
          <w:sz w:val="21"/>
          <w:szCs w:val="21"/>
        </w:rPr>
        <w:t xml:space="preserve">config/routes.json</w:t>
      </w:r>
      <w:r>
        <w:rPr>
          <w:rFonts w:ascii="Tenorite" w:cs="Tenorite" w:eastAsia="Tenorite" w:hAnsi="Tenorite"/>
          <w:color w:val="000000"/>
          <w:sz w:val="21"/>
          <w:szCs w:val="21"/>
        </w:rPr>
        <w:t xml:space="preserve">, </w:t>
      </w:r>
      <w:r>
        <w:rPr>
          <w:rFonts w:ascii="Tenorite" w:cs="Tenorite" w:eastAsia="Tenorite" w:hAnsi="Tenorite"/>
          <w:b/>
          <w:bCs/>
          <w:color w:val="000000"/>
          <w:sz w:val="21"/>
          <w:szCs w:val="21"/>
        </w:rPr>
        <w:t xml:space="preserve">40 Security</w:t>
      </w:r>
      <w:r>
        <w:rPr>
          <w:rFonts w:ascii="Tenorite" w:cs="Tenorite" w:eastAsia="Tenorite" w:hAnsi="Tenorite"/>
          <w:color w:val="000000"/>
          <w:sz w:val="21"/>
          <w:szCs w:val="21"/>
        </w:rPr>
        <w:t xml:space="preserve"> scenarios from </w:t>
      </w:r>
      <w:r>
        <w:rPr>
          <w:rFonts w:ascii="Tenorite" w:cs="Tenorite" w:eastAsia="Tenorite" w:hAnsi="Tenorite"/>
          <w:color w:val="000000"/>
          <w:sz w:val="21"/>
          <w:szCs w:val="21"/>
        </w:rPr>
        <w:t xml:space="preserve">rbac-matrix.md</w:t>
      </w:r>
      <w:r>
        <w:rPr>
          <w:rFonts w:ascii="Tenorite" w:cs="Tenorite" w:eastAsia="Tenorite" w:hAnsi="Tenorite"/>
          <w:color w:val="000000"/>
          <w:sz w:val="21"/>
          <w:szCs w:val="21"/>
        </w:rPr>
        <w:t xml:space="preserve">, and </w:t>
      </w:r>
      <w:r>
        <w:rPr>
          <w:rFonts w:ascii="Tenorite" w:cs="Tenorite" w:eastAsia="Tenorite" w:hAnsi="Tenorite"/>
          <w:b/>
          <w:bCs/>
          <w:color w:val="000000"/>
          <w:sz w:val="21"/>
          <w:szCs w:val="21"/>
        </w:rPr>
        <w:t xml:space="preserve">29 Boundary</w:t>
      </w:r>
      <w:r>
        <w:rPr>
          <w:rFonts w:ascii="Tenorite" w:cs="Tenorite" w:eastAsia="Tenorite" w:hAnsi="Tenorite"/>
          <w:color w:val="000000"/>
          <w:sz w:val="21"/>
          <w:szCs w:val="21"/>
        </w:rPr>
        <w:t xml:space="preserve"> scenarios from </w:t>
      </w:r>
      <w:r>
        <w:rPr>
          <w:rFonts w:ascii="Tenorite" w:cs="Tenorite" w:eastAsia="Tenorite" w:hAnsi="Tenorite"/>
          <w:color w:val="000000"/>
          <w:sz w:val="21"/>
          <w:szCs w:val="21"/>
        </w:rPr>
        <w:t xml:space="preserve">business-rules.md</w:t>
      </w:r>
      <w:r>
        <w:rPr>
          <w:rFonts w:ascii="Tenorite" w:cs="Tenorite" w:eastAsia="Tenorite" w:hAnsi="Tenorite"/>
          <w:color w:val="000000"/>
          <w:sz w:val="21"/>
          <w:szCs w:val="21"/>
        </w:rPr>
        <w:t xml:space="preserve">.</w:t>
      </w:r>
    </w:p>
    <w:p>
      <w:pPr>
        <w:spacing w:after="160" w:line="300"/>
      </w:pPr>
      <w:r>
        <w:rPr>
          <w:rFonts w:ascii="Tenorite" w:cs="Tenorite" w:eastAsia="Tenorite" w:hAnsi="Tenorite"/>
          <w:color w:val="000000"/>
          <w:sz w:val="21"/>
          <w:szCs w:val="21"/>
        </w:rPr>
        <w:t xml:space="preserve">The 16 modules and their scenario counts are: Lead Management (22), Mobile Postpaid (26), Mobile Prepaid (6), Pre-to-Post Migration (18), MNP/FNP Porting (40), Fixed Line/Fibre (60), FWA/5G Home (36), Enterprise/IoT/B2B (55), Billing &amp; Adjustments (33), Order Management (24), Identity &amp; Customer Management (33), SIM &amp; Number Management (34), Trouble Ticketing &amp; Complaints (26), Access/Roles &amp; Approval Governance (17), CAF/Attachments &amp; Forms (27), and Platform Governance &amp; Architecture (36) (test-scenario-catalogue.md, §1 headers).</w:t>
      </w:r>
    </w:p>
    <w:p>
      <w:pPr>
        <w:spacing w:after="160" w:line="300"/>
      </w:pPr>
      <w:r>
        <w:rPr>
          <w:rFonts w:ascii="Tenorite" w:cs="Tenorite" w:eastAsia="Tenorite" w:hAnsi="Tenorite"/>
          <w:b/>
          <w:bCs/>
          <w:color w:val="000000"/>
          <w:sz w:val="21"/>
          <w:szCs w:val="21"/>
        </w:rPr>
        <w:t xml:space="preserve">"308/308 requirements referenced" coverage claim</w:t>
      </w:r>
      <w:r>
        <w:rPr>
          <w:rFonts w:ascii="Tenorite" w:cs="Tenorite" w:eastAsia="Tenorite" w:hAnsi="Tenorite"/>
          <w:color w:val="000000"/>
          <w:sz w:val="21"/>
          <w:szCs w:val="21"/>
        </w:rPr>
        <w:t xml:space="preserve">: the catalogue states "308 of 308 requirements (100%) are referenced by at least one scenario" (test-scenario-catalogue.md, line 7), and §5 ("Uncovered Requirements (0 of 308)") confirms explicitly: "None — full coverage achieved" (test-scenario-catalogue.md, line 2986). This is a </w:t>
      </w:r>
      <w:r>
        <w:rPr>
          <w:rFonts w:ascii="Tenorite" w:cs="Tenorite" w:eastAsia="Tenorite" w:hAnsi="Tenorite"/>
          <w:b/>
          <w:bCs/>
          <w:color w:val="000000"/>
          <w:sz w:val="21"/>
          <w:szCs w:val="21"/>
        </w:rPr>
        <w:t xml:space="preserve">traceability completeness claim</w:t>
      </w:r>
      <w:r>
        <w:rPr>
          <w:rFonts w:ascii="Tenorite" w:cs="Tenorite" w:eastAsia="Tenorite" w:hAnsi="Tenorite"/>
          <w:color w:val="000000"/>
          <w:sz w:val="21"/>
          <w:szCs w:val="21"/>
        </w:rPr>
        <w:t xml:space="preserve">, not a claim about test execution or pass/fail status — it means every one of the 308 requirements catalogued elsewhere in the reference documentation has at least one test scenario that cites its requirement ID (via a "Covers: REQ-xxx" tag on each scenario), so no requirement in the corpus is left without a corresponding test case. It does not indicate the scenarios have been run, automated, or verified against a live system.</w:t>
      </w:r>
    </w:p>
    <w:p>
      <w:r>
        <w:br w:type="page"/>
      </w:r>
    </w:p>
    <w:p>
      <w:pPr>
        <w:pStyle w:val="Heading1"/>
        <w:spacing w:after="160" w:before="320"/>
      </w:pPr>
      <w:r>
        <w:t xml:space="preserve">Gaps, Conflicts &amp; Assumptions</w:t>
      </w:r>
    </w:p>
    <w:p>
      <w:pPr>
        <w:spacing w:after="160" w:line="300"/>
      </w:pPr>
      <w:r>
        <w:rPr>
          <w:rFonts w:ascii="Tenorite" w:cs="Tenorite" w:eastAsia="Tenorite" w:hAnsi="Tenorite"/>
          <w:color w:val="000000"/>
          <w:sz w:val="21"/>
          <w:szCs w:val="21"/>
        </w:rPr>
        <w:t xml:space="preserve">This blueprint was reconstructed from an 83-document workshop/BRSD/forms corpus, not from a live specification process — so it inevitably contains places where the source material was silent, contradicted itself, or only hinted at an answer. This section is the honest accounting of those places. Nothing below is hidden inside a catalogue file; every item here is either resolved with cited evidence, flagged as a labeled assumption (never presented as fact), or named as an open question for Vodafone Qatar stakeholders.</w:t>
      </w:r>
    </w:p>
    <w:p>
      <w:pPr>
        <w:spacing w:after="160" w:line="300"/>
      </w:pPr>
      <w:r>
        <w:rPr>
          <w:rFonts w:ascii="Tenorite" w:cs="Tenorite" w:eastAsia="Tenorite" w:hAnsi="Tenorite"/>
          <w:color w:val="000000"/>
          <w:sz w:val="21"/>
          <w:szCs w:val="21"/>
        </w:rPr>
        <w:t xml:space="preserve">A prior analysis pass ("Stage K") deliberately re-mined all 237 originally-flagged gap items against the </w:t>
      </w:r>
      <w:r>
        <w:rPr>
          <w:rFonts w:ascii="Tenorite" w:cs="Tenorite" w:eastAsia="Tenorite" w:hAnsi="Tenorite"/>
          <w:i/>
          <w:iCs/>
          <w:color w:val="000000"/>
          <w:sz w:val="21"/>
          <w:szCs w:val="21"/>
        </w:rPr>
        <w:t xml:space="preserve">original</w:t>
      </w:r>
      <w:r>
        <w:rPr>
          <w:rFonts w:ascii="Tenorite" w:cs="Tenorite" w:eastAsia="Tenorite" w:hAnsi="Tenorite"/>
          <w:color w:val="000000"/>
          <w:sz w:val="21"/>
          <w:szCs w:val="21"/>
        </w:rPr>
        <w:t xml:space="preserve"> source documents rather than accepting the first-pass summaries. The result: </w:t>
      </w:r>
      <w:r>
        <w:rPr>
          <w:rFonts w:ascii="Tenorite" w:cs="Tenorite" w:eastAsia="Tenorite" w:hAnsi="Tenorite"/>
          <w:b/>
          <w:bCs/>
          <w:color w:val="000000"/>
          <w:sz w:val="21"/>
          <w:szCs w:val="21"/>
        </w:rPr>
        <w:t xml:space="preserve">185 of 237 (78%) recovered genuine new evidence, 31 were reclassified as not actually applicable, and 21 remain genuinely gapped</w:t>
      </w:r>
      <w:r>
        <w:rPr>
          <w:rFonts w:ascii="Tenorite" w:cs="Tenorite" w:eastAsia="Tenorite" w:hAnsi="Tenorite"/>
          <w:color w:val="000000"/>
          <w:sz w:val="21"/>
          <w:szCs w:val="21"/>
        </w:rPr>
        <w:t xml:space="preserve"> — each of the 21 now carries a clearly labeled "Recommended Assumption" rather than an invented fact. That discipline — recover real evidence first, label what can't be recovered as an assumption, never fabricate — governs everything in this section.</w:t>
      </w:r>
    </w:p>
    <w:p>
      <w:pPr>
        <w:pStyle w:val="Heading2"/>
        <w:spacing w:after="120" w:before="260"/>
      </w:pPr>
      <w:r>
        <w:t xml:space="preserve">Summary Table</w:t>
      </w:r>
    </w:p>
    <w:tbl>
      <w:tblPr>
        <w:tblW w:type="dxa" w:w="9350"/>
        <w:tblBorders>
          <w:top w:val="single" w:color="BFBFBF" w:sz="4"/>
          <w:left w:val="single" w:color="BFBFBF" w:sz="4"/>
          <w:bottom w:val="single" w:color="BFBFBF" w:sz="4"/>
          <w:right w:val="single" w:color="BFBFBF" w:sz="4"/>
          <w:insideH w:val="single" w:color="D9D9D9" w:sz="4"/>
          <w:insideV w:val="single" w:color="D9D9D9" w:sz="4"/>
        </w:tblBorders>
      </w:tblPr>
      <w:tblGrid>
        <w:gridCol w:w="2337"/>
        <w:gridCol w:w="2337"/>
        <w:gridCol w:w="2337"/>
        <w:gridCol w:w="2337"/>
      </w:tblGrid>
      <w:tr>
        <w:trPr>
          <w:tblHeader/>
        </w:trPr>
        <w:tc>
          <w:tcPr>
            <w:tcW w:type="dxa" w:w="2337"/>
            <w:shd w:fill="E8E8E8" w:val="clear"/>
            <w:tcMar>
              <w:top w:type="dxa" w:w="60"/>
              <w:left w:type="dxa" w:w="100"/>
              <w:bottom w:type="dxa" w:w="60"/>
              <w:right w:type="dxa" w:w="100"/>
            </w:tcMar>
            <w:vAlign w:val="center"/>
          </w:tcPr>
          <w:p>
            <w:pPr>
              <w:spacing w:after="0"/>
            </w:pPr>
            <w:r>
              <w:rPr>
                <w:rFonts w:ascii="Tenorite" w:cs="Tenorite" w:eastAsia="Tenorite" w:hAnsi="Tenorite"/>
                <w:b/>
                <w:bCs/>
                <w:color w:val="7030A0"/>
                <w:sz w:val="18"/>
                <w:szCs w:val="18"/>
              </w:rPr>
              <w:t xml:space="preserve">Issue</w:t>
            </w:r>
          </w:p>
        </w:tc>
        <w:tc>
          <w:tcPr>
            <w:tcW w:type="dxa" w:w="2337"/>
            <w:shd w:fill="E8E8E8" w:val="clear"/>
            <w:tcMar>
              <w:top w:type="dxa" w:w="60"/>
              <w:left w:type="dxa" w:w="100"/>
              <w:bottom w:type="dxa" w:w="60"/>
              <w:right w:type="dxa" w:w="100"/>
            </w:tcMar>
            <w:vAlign w:val="center"/>
          </w:tcPr>
          <w:p>
            <w:pPr>
              <w:spacing w:after="0"/>
            </w:pPr>
            <w:r>
              <w:rPr>
                <w:rFonts w:ascii="Tenorite" w:cs="Tenorite" w:eastAsia="Tenorite" w:hAnsi="Tenorite"/>
                <w:b/>
                <w:bCs/>
                <w:color w:val="7030A0"/>
                <w:sz w:val="18"/>
                <w:szCs w:val="18"/>
              </w:rPr>
              <w:t xml:space="preserve">Severity</w:t>
            </w:r>
          </w:p>
        </w:tc>
        <w:tc>
          <w:tcPr>
            <w:tcW w:type="dxa" w:w="2337"/>
            <w:shd w:fill="E8E8E8" w:val="clear"/>
            <w:tcMar>
              <w:top w:type="dxa" w:w="60"/>
              <w:left w:type="dxa" w:w="100"/>
              <w:bottom w:type="dxa" w:w="60"/>
              <w:right w:type="dxa" w:w="100"/>
            </w:tcMar>
            <w:vAlign w:val="center"/>
          </w:tcPr>
          <w:p>
            <w:pPr>
              <w:spacing w:after="0"/>
            </w:pPr>
            <w:r>
              <w:rPr>
                <w:rFonts w:ascii="Tenorite" w:cs="Tenorite" w:eastAsia="Tenorite" w:hAnsi="Tenorite"/>
                <w:b/>
                <w:bCs/>
                <w:color w:val="7030A0"/>
                <w:sz w:val="18"/>
                <w:szCs w:val="18"/>
              </w:rPr>
              <w:t xml:space="preserve">Source/Evidence</w:t>
            </w:r>
          </w:p>
        </w:tc>
        <w:tc>
          <w:tcPr>
            <w:tcW w:type="dxa" w:w="2337"/>
            <w:shd w:fill="E8E8E8" w:val="clear"/>
            <w:tcMar>
              <w:top w:type="dxa" w:w="60"/>
              <w:left w:type="dxa" w:w="100"/>
              <w:bottom w:type="dxa" w:w="60"/>
              <w:right w:type="dxa" w:w="100"/>
            </w:tcMar>
            <w:vAlign w:val="center"/>
          </w:tcPr>
          <w:p>
            <w:pPr>
              <w:spacing w:after="0"/>
            </w:pPr>
            <w:r>
              <w:rPr>
                <w:rFonts w:ascii="Tenorite" w:cs="Tenorite" w:eastAsia="Tenorite" w:hAnsi="Tenorite"/>
                <w:b/>
                <w:bCs/>
                <w:color w:val="7030A0"/>
                <w:sz w:val="18"/>
                <w:szCs w:val="18"/>
              </w:rPr>
              <w:t xml:space="preserve">Recommended Resolution</w:t>
            </w:r>
          </w:p>
        </w:tc>
      </w:tr>
      <w:tr>
        <w:tc>
          <w:tcPr>
            <w:tcW w:type="dxa" w:w="2337"/>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13 requirements unlinked to any journey/screen after re-mining</w:t>
            </w:r>
          </w:p>
        </w:tc>
        <w:tc>
          <w:tcPr>
            <w:tcW w:type="dxa" w:w="2337"/>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Medium</w:t>
            </w:r>
          </w:p>
        </w:tc>
        <w:tc>
          <w:tcPr>
            <w:tcW w:type="dxa" w:w="2337"/>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gap-analysis.md</w:t>
            </w:r>
            <w:r>
              <w:rPr>
                <w:rFonts w:ascii="Tenorite" w:cs="Tenorite" w:eastAsia="Tenorite" w:hAnsi="Tenorite"/>
                <w:b w:val="false"/>
                <w:bCs w:val="false"/>
                <w:color w:val="000000"/>
                <w:sz w:val="18"/>
                <w:szCs w:val="18"/>
              </w:rPr>
              <w:t xml:space="preserve"> §5; </w:t>
            </w:r>
            <w:r>
              <w:rPr>
                <w:rFonts w:ascii="Tenorite" w:cs="Tenorite" w:eastAsia="Tenorite" w:hAnsi="Tenorite"/>
                <w:b w:val="false"/>
                <w:bCs w:val="false"/>
                <w:color w:val="000000"/>
                <w:sz w:val="18"/>
                <w:szCs w:val="18"/>
              </w:rPr>
              <w:t xml:space="preserve">gap-resolution-stage-k.md</w:t>
            </w:r>
            <w:r>
              <w:rPr>
                <w:rFonts w:ascii="Tenorite" w:cs="Tenorite" w:eastAsia="Tenorite" w:hAnsi="Tenorite"/>
                <w:b w:val="false"/>
                <w:bCs w:val="false"/>
                <w:color w:val="000000"/>
                <w:sz w:val="18"/>
                <w:szCs w:val="18"/>
              </w:rPr>
              <w:t xml:space="preserve"> REQ-024/057–059/061/081/085–086/161/272–273/277/308</w:t>
            </w:r>
          </w:p>
        </w:tc>
        <w:tc>
          <w:tcPr>
            <w:tcW w:type="dxa" w:w="2337"/>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Business-owner confirmation per item; several have a grounded analogy proposed below</w:t>
            </w:r>
          </w:p>
        </w:tc>
      </w:tr>
      <w:tr>
        <w:tc>
          <w:tcPr>
            <w:tcW w:type="dxa" w:w="2337"/>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1 journey (UJ-006 Enterprise/IoT) has zero step-level detail</w:t>
            </w:r>
          </w:p>
        </w:tc>
        <w:tc>
          <w:tcPr>
            <w:tcW w:type="dxa" w:w="2337"/>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Medium</w:t>
            </w:r>
          </w:p>
        </w:tc>
        <w:tc>
          <w:tcPr>
            <w:tcW w:type="dxa" w:w="2337"/>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gap-analysis.md</w:t>
            </w:r>
            <w:r>
              <w:rPr>
                <w:rFonts w:ascii="Tenorite" w:cs="Tenorite" w:eastAsia="Tenorite" w:hAnsi="Tenorite"/>
                <w:b w:val="false"/>
                <w:bCs w:val="false"/>
                <w:color w:val="000000"/>
                <w:sz w:val="18"/>
                <w:szCs w:val="18"/>
              </w:rPr>
              <w:t xml:space="preserve"> §2; </w:t>
            </w:r>
            <w:r>
              <w:rPr>
                <w:rFonts w:ascii="Tenorite" w:cs="Tenorite" w:eastAsia="Tenorite" w:hAnsi="Tenorite"/>
                <w:b w:val="false"/>
                <w:bCs w:val="false"/>
                <w:color w:val="000000"/>
                <w:sz w:val="18"/>
                <w:szCs w:val="18"/>
              </w:rPr>
              <w:t xml:space="preserve">gap-resolution-stage-k.md</w:t>
            </w:r>
            <w:r>
              <w:rPr>
                <w:rFonts w:ascii="Tenorite" w:cs="Tenorite" w:eastAsia="Tenorite" w:hAnsi="Tenorite"/>
                <w:b w:val="false"/>
                <w:bCs w:val="false"/>
                <w:color w:val="000000"/>
                <w:sz w:val="18"/>
                <w:szCs w:val="18"/>
              </w:rPr>
              <w:t xml:space="preserve"> UJ-006</w:t>
            </w:r>
          </w:p>
        </w:tc>
        <w:tc>
          <w:tcPr>
            <w:tcW w:type="dxa" w:w="2337"/>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Obtain deferred enterprise-SME transcript or run a walkthrough; do not fabricate by analogy</w:t>
            </w:r>
          </w:p>
        </w:tc>
      </w:tr>
      <w:tr>
        <w:tc>
          <w:tcPr>
            <w:tcW w:type="dxa" w:w="2337"/>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5 screens have zero recoverable field-level detail</w:t>
            </w:r>
          </w:p>
        </w:tc>
        <w:tc>
          <w:tcPr>
            <w:tcW w:type="dxa" w:w="2337"/>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Low–Medium</w:t>
            </w:r>
          </w:p>
        </w:tc>
        <w:tc>
          <w:tcPr>
            <w:tcW w:type="dxa" w:w="2337"/>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gap-analysis.md</w:t>
            </w:r>
            <w:r>
              <w:rPr>
                <w:rFonts w:ascii="Tenorite" w:cs="Tenorite" w:eastAsia="Tenorite" w:hAnsi="Tenorite"/>
                <w:b w:val="false"/>
                <w:bCs w:val="false"/>
                <w:color w:val="000000"/>
                <w:sz w:val="18"/>
                <w:szCs w:val="18"/>
              </w:rPr>
              <w:t xml:space="preserve"> §6; SCR-008/026/142/159/207</w:t>
            </w:r>
          </w:p>
        </w:tc>
        <w:tc>
          <w:tcPr>
            <w:tcW w:type="dxa" w:w="2337"/>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Capture real screenshots; interim analogies proposed per item below</w:t>
            </w:r>
          </w:p>
        </w:tc>
      </w:tr>
      <w:tr>
        <w:tc>
          <w:tcPr>
            <w:tcW w:type="dxa" w:w="2337"/>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2 entities lack lifecycle/validation detail</w:t>
            </w:r>
          </w:p>
        </w:tc>
        <w:tc>
          <w:tcPr>
            <w:tcW w:type="dxa" w:w="2337"/>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Low</w:t>
            </w:r>
          </w:p>
        </w:tc>
        <w:tc>
          <w:tcPr>
            <w:tcW w:type="dxa" w:w="2337"/>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gap-analysis.md</w:t>
            </w:r>
            <w:r>
              <w:rPr>
                <w:rFonts w:ascii="Tenorite" w:cs="Tenorite" w:eastAsia="Tenorite" w:hAnsi="Tenorite"/>
                <w:b w:val="false"/>
                <w:bCs w:val="false"/>
                <w:color w:val="000000"/>
                <w:sz w:val="18"/>
                <w:szCs w:val="18"/>
              </w:rPr>
              <w:t xml:space="preserve"> §4; ENT-042, ENT-043</w:t>
            </w:r>
          </w:p>
        </w:tc>
        <w:tc>
          <w:tcPr>
            <w:tcW w:type="dxa" w:w="2337"/>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Treat as static lookup / templated-notification pattern per proposed assumption</w:t>
            </w:r>
          </w:p>
        </w:tc>
      </w:tr>
      <w:tr>
        <w:tc>
          <w:tcPr>
            <w:tcW w:type="dxa" w:w="2337"/>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Fibre outstanding-dues threshold self-contradictory</w:t>
            </w:r>
          </w:p>
        </w:tc>
        <w:tc>
          <w:tcPr>
            <w:tcW w:type="dxa" w:w="2337"/>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High</w:t>
            </w:r>
          </w:p>
        </w:tc>
        <w:tc>
          <w:tcPr>
            <w:tcW w:type="dxa" w:w="2337"/>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conflict-report.md</w:t>
            </w:r>
            <w:r>
              <w:rPr>
                <w:rFonts w:ascii="Tenorite" w:cs="Tenorite" w:eastAsia="Tenorite" w:hAnsi="Tenorite"/>
                <w:b w:val="false"/>
                <w:bCs w:val="false"/>
                <w:color w:val="000000"/>
                <w:sz w:val="18"/>
                <w:szCs w:val="18"/>
              </w:rPr>
              <w:t xml:space="preserve"> Conflict 1 — REQ-258 vs. REQ-276, Fibre BRSD OI-04/BR-033/P-17</w:t>
            </w:r>
          </w:p>
        </w:tc>
        <w:tc>
          <w:tcPr>
            <w:tcW w:type="dxa" w:w="2337"/>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Escalate to VFQ Collections/Credit Control to set one QAR threshold</w:t>
            </w:r>
          </w:p>
        </w:tc>
      </w:tr>
      <w:tr>
        <w:tc>
          <w:tcPr>
            <w:tcW w:type="dxa" w:w="2337"/>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Suspension/Resume retail-channel claim vs. back-office-only redesign</w:t>
            </w:r>
          </w:p>
        </w:tc>
        <w:tc>
          <w:tcPr>
            <w:tcW w:type="dxa" w:w="2337"/>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High</w:t>
            </w:r>
          </w:p>
        </w:tc>
        <w:tc>
          <w:tcPr>
            <w:tcW w:type="dxa" w:w="2337"/>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conflict-report.md</w:t>
            </w:r>
            <w:r>
              <w:rPr>
                <w:rFonts w:ascii="Tenorite" w:cs="Tenorite" w:eastAsia="Tenorite" w:hAnsi="Tenorite"/>
                <w:b w:val="false"/>
                <w:bCs w:val="false"/>
                <w:color w:val="000000"/>
                <w:sz w:val="18"/>
                <w:szCs w:val="18"/>
              </w:rPr>
              <w:t xml:space="preserve"> Conflict 3 — REQ-299/302 vs. PERSONA-021/BR-059</w:t>
            </w:r>
          </w:p>
        </w:tc>
        <w:tc>
          <w:tcPr>
            <w:tcW w:type="dxa" w:w="2337"/>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Treat higher-confidence back-office-only source as authoritative pending confirmation</w:t>
            </w:r>
          </w:p>
        </w:tc>
      </w:tr>
      <w:tr>
        <w:tc>
          <w:tcPr>
            <w:tcW w:type="dxa" w:w="2337"/>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ZSB mandatory-for-mobile rule vs. workshop mobile-exempt decision</w:t>
            </w:r>
          </w:p>
        </w:tc>
        <w:tc>
          <w:tcPr>
            <w:tcW w:type="dxa" w:w="2337"/>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Medium</w:t>
            </w:r>
          </w:p>
        </w:tc>
        <w:tc>
          <w:tcPr>
            <w:tcW w:type="dxa" w:w="2337"/>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conflict-report.md</w:t>
            </w:r>
            <w:r>
              <w:rPr>
                <w:rFonts w:ascii="Tenorite" w:cs="Tenorite" w:eastAsia="Tenorite" w:hAnsi="Tenorite"/>
                <w:b w:val="false"/>
                <w:bCs w:val="false"/>
                <w:color w:val="000000"/>
                <w:sz w:val="18"/>
                <w:szCs w:val="18"/>
              </w:rPr>
              <w:t xml:space="preserve"> Conflict 2 — REQ-112 vs. REQ-051</w:t>
            </w:r>
          </w:p>
        </w:tc>
        <w:tc>
          <w:tcPr>
            <w:tcW w:type="dxa" w:w="2337"/>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Confirm with COPS &amp; Digital / Customer Data Management</w:t>
            </w:r>
          </w:p>
        </w:tc>
      </w:tr>
      <w:tr>
        <w:tc>
          <w:tcPr>
            <w:tcW w:type="dxa" w:w="2337"/>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Duplicate Form ID </w:t>
            </w:r>
            <w:r>
              <w:rPr>
                <w:rFonts w:ascii="Tenorite" w:cs="Tenorite" w:eastAsia="Tenorite" w:hAnsi="Tenorite"/>
                <w:b w:val="false"/>
                <w:bCs w:val="false"/>
                <w:color w:val="000000"/>
                <w:sz w:val="18"/>
                <w:szCs w:val="18"/>
              </w:rPr>
              <w:t xml:space="preserve">PCA001</w:t>
            </w:r>
            <w:r>
              <w:rPr>
                <w:rFonts w:ascii="Tenorite" w:cs="Tenorite" w:eastAsia="Tenorite" w:hAnsi="Tenorite"/>
                <w:b w:val="false"/>
                <w:bCs w:val="false"/>
                <w:color w:val="000000"/>
                <w:sz w:val="18"/>
                <w:szCs w:val="18"/>
              </w:rPr>
              <w:t xml:space="preserve"> on both Postpaid and Prepaid CAF</w:t>
            </w:r>
          </w:p>
        </w:tc>
        <w:tc>
          <w:tcPr>
            <w:tcW w:type="dxa" w:w="2337"/>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Medium</w:t>
            </w:r>
          </w:p>
        </w:tc>
        <w:tc>
          <w:tcPr>
            <w:tcW w:type="dxa" w:w="2337"/>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conflict-report.md</w:t>
            </w:r>
            <w:r>
              <w:rPr>
                <w:rFonts w:ascii="Tenorite" w:cs="Tenorite" w:eastAsia="Tenorite" w:hAnsi="Tenorite"/>
                <w:b w:val="false"/>
                <w:bCs w:val="false"/>
                <w:color w:val="000000"/>
                <w:sz w:val="18"/>
                <w:szCs w:val="18"/>
              </w:rPr>
              <w:t xml:space="preserve"> corpus conflict 1</w:t>
            </w:r>
          </w:p>
        </w:tc>
        <w:tc>
          <w:tcPr>
            <w:tcW w:type="dxa" w:w="2337"/>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Confirm with CAF template owner before treating as unique ID</w:t>
            </w:r>
          </w:p>
        </w:tc>
      </w:tr>
      <w:tr>
        <w:tc>
          <w:tcPr>
            <w:tcW w:type="dxa" w:w="2337"/>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Unsubstantiated "UpdateV1.0" marker, no changelog in corpus</w:t>
            </w:r>
          </w:p>
        </w:tc>
        <w:tc>
          <w:tcPr>
            <w:tcW w:type="dxa" w:w="2337"/>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Low</w:t>
            </w:r>
          </w:p>
        </w:tc>
        <w:tc>
          <w:tcPr>
            <w:tcW w:type="dxa" w:w="2337"/>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conflict-report.md</w:t>
            </w:r>
            <w:r>
              <w:rPr>
                <w:rFonts w:ascii="Tenorite" w:cs="Tenorite" w:eastAsia="Tenorite" w:hAnsi="Tenorite"/>
                <w:b w:val="false"/>
                <w:bCs w:val="false"/>
                <w:color w:val="000000"/>
                <w:sz w:val="18"/>
                <w:szCs w:val="18"/>
              </w:rPr>
              <w:t xml:space="preserve"> corpus conflict 2</w:t>
            </w:r>
          </w:p>
        </w:tc>
        <w:tc>
          <w:tcPr>
            <w:tcW w:type="dxa" w:w="2337"/>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Request prior baseline/changelog from facilitators</w:t>
            </w:r>
          </w:p>
        </w:tc>
      </w:tr>
      <w:tr>
        <w:tc>
          <w:tcPr>
            <w:tcW w:type="dxa" w:w="2337"/>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Two near-duplicate 165-row CRM journey workbooks</w:t>
            </w:r>
          </w:p>
        </w:tc>
        <w:tc>
          <w:tcPr>
            <w:tcW w:type="dxa" w:w="2337"/>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Low</w:t>
            </w:r>
          </w:p>
        </w:tc>
        <w:tc>
          <w:tcPr>
            <w:tcW w:type="dxa" w:w="2337"/>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conflict-report.md</w:t>
            </w:r>
            <w:r>
              <w:rPr>
                <w:rFonts w:ascii="Tenorite" w:cs="Tenorite" w:eastAsia="Tenorite" w:hAnsi="Tenorite"/>
                <w:b w:val="false"/>
                <w:bCs w:val="false"/>
                <w:color w:val="000000"/>
                <w:sz w:val="18"/>
                <w:szCs w:val="18"/>
              </w:rPr>
              <w:t xml:space="preserve"> corpus conflict 3</w:t>
            </w:r>
          </w:p>
        </w:tc>
        <w:tc>
          <w:tcPr>
            <w:tcW w:type="dxa" w:w="2337"/>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Treat </w:t>
            </w:r>
            <w:r>
              <w:rPr>
                <w:rFonts w:ascii="Tenorite" w:cs="Tenorite" w:eastAsia="Tenorite" w:hAnsi="Tenorite"/>
                <w:b w:val="false"/>
                <w:bCs w:val="false"/>
                <w:color w:val="000000"/>
                <w:sz w:val="18"/>
                <w:szCs w:val="18"/>
              </w:rPr>
              <w:t xml:space="preserve">..._with_Type.xlsx</w:t>
            </w:r>
            <w:r>
              <w:rPr>
                <w:rFonts w:ascii="Tenorite" w:cs="Tenorite" w:eastAsia="Tenorite" w:hAnsi="Tenorite"/>
                <w:b w:val="false"/>
                <w:bCs w:val="false"/>
                <w:color w:val="000000"/>
                <w:sz w:val="18"/>
                <w:szCs w:val="18"/>
              </w:rPr>
              <w:t xml:space="preserve"> as authoritative (already this blueprint's convention)</w:t>
            </w:r>
          </w:p>
        </w:tc>
      </w:tr>
      <w:tr>
        <w:tc>
          <w:tcPr>
            <w:tcW w:type="dxa" w:w="2337"/>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Two workshop recordings damaged/truncated, capping downstream confidence</w:t>
            </w:r>
          </w:p>
        </w:tc>
        <w:tc>
          <w:tcPr>
            <w:tcW w:type="dxa" w:w="2337"/>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Medium</w:t>
            </w:r>
          </w:p>
        </w:tc>
        <w:tc>
          <w:tcPr>
            <w:tcW w:type="dxa" w:w="2337"/>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conflict-report.md</w:t>
            </w:r>
            <w:r>
              <w:rPr>
                <w:rFonts w:ascii="Tenorite" w:cs="Tenorite" w:eastAsia="Tenorite" w:hAnsi="Tenorite"/>
                <w:b w:val="false"/>
                <w:bCs w:val="false"/>
                <w:color w:val="000000"/>
                <w:sz w:val="18"/>
                <w:szCs w:val="18"/>
              </w:rPr>
              <w:t xml:space="preserve"> corpus conflict 4</w:t>
            </w:r>
          </w:p>
        </w:tc>
        <w:tc>
          <w:tcPr>
            <w:tcW w:type="dxa" w:w="2337"/>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Request full recordings or facilitator notes</w:t>
            </w:r>
          </w:p>
        </w:tc>
      </w:tr>
      <w:tr>
        <w:tc>
          <w:tcPr>
            <w:tcW w:type="dxa" w:w="2337"/>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WF-015 "Retention / Happy Offers" named in legacy workbook, absent from blueprint</w:t>
            </w:r>
          </w:p>
        </w:tc>
        <w:tc>
          <w:tcPr>
            <w:tcW w:type="dxa" w:w="2337"/>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Medium</w:t>
            </w:r>
          </w:p>
        </w:tc>
        <w:tc>
          <w:tcPr>
            <w:tcW w:type="dxa" w:w="2337"/>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traceability-workbook-reconciliation.md</w:t>
            </w:r>
            <w:r>
              <w:rPr>
                <w:rFonts w:ascii="Tenorite" w:cs="Tenorite" w:eastAsia="Tenorite" w:hAnsi="Tenorite"/>
                <w:b w:val="false"/>
                <w:bCs w:val="false"/>
                <w:color w:val="000000"/>
                <w:sz w:val="18"/>
                <w:szCs w:val="18"/>
              </w:rPr>
              <w:t xml:space="preserve">; </w:t>
            </w:r>
            <w:r>
              <w:rPr>
                <w:rFonts w:ascii="Tenorite" w:cs="Tenorite" w:eastAsia="Tenorite" w:hAnsi="Tenorite"/>
                <w:b w:val="false"/>
                <w:bCs w:val="false"/>
                <w:color w:val="000000"/>
                <w:sz w:val="18"/>
                <w:szCs w:val="18"/>
              </w:rPr>
              <w:t xml:space="preserve">gap-analysis.md</w:t>
            </w:r>
            <w:r>
              <w:rPr>
                <w:rFonts w:ascii="Tenorite" w:cs="Tenorite" w:eastAsia="Tenorite" w:hAnsi="Tenorite"/>
                <w:b w:val="false"/>
                <w:bCs w:val="false"/>
                <w:color w:val="000000"/>
                <w:sz w:val="18"/>
                <w:szCs w:val="18"/>
              </w:rPr>
              <w:t xml:space="preserve"> §8</w:t>
            </w:r>
          </w:p>
        </w:tc>
        <w:tc>
          <w:tcPr>
            <w:tcW w:type="dxa" w:w="2337"/>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Confirm scope with business; needs its own extraction pass if in-scope</w:t>
            </w:r>
          </w:p>
        </w:tc>
      </w:tr>
      <w:tr>
        <w:tc>
          <w:tcPr>
            <w:tcW w:type="dxa" w:w="2337"/>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4 of 16 modules are High Risk or Missing</w:t>
            </w:r>
          </w:p>
        </w:tc>
        <w:tc>
          <w:tcPr>
            <w:tcW w:type="dxa" w:w="2337"/>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High</w:t>
            </w:r>
          </w:p>
        </w:tc>
        <w:tc>
          <w:tcPr>
            <w:tcW w:type="dxa" w:w="2337"/>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build-readiness.md</w:t>
            </w:r>
          </w:p>
        </w:tc>
        <w:tc>
          <w:tcPr>
            <w:tcW w:type="dxa" w:w="2337"/>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Prioritize stakeholder workshops for these 4 before treating as build-ready</w:t>
            </w:r>
          </w:p>
        </w:tc>
      </w:tr>
    </w:tbl>
    <w:p>
      <w:pPr>
        <w:spacing w:after="200"/>
      </w:pPr>
    </w:p>
    <w:p>
      <w:pPr>
        <w:pStyle w:val="Heading2"/>
        <w:spacing w:after="120" w:before="260"/>
      </w:pPr>
      <w:r>
        <w:t xml:space="preserve">1. Open Questions / Genuinely Unresolved Gaps</w:t>
      </w:r>
    </w:p>
    <w:p>
      <w:pPr>
        <w:spacing w:after="160" w:line="300"/>
      </w:pPr>
      <w:r>
        <w:rPr>
          <w:rFonts w:ascii="Tenorite" w:cs="Tenorite" w:eastAsia="Tenorite" w:hAnsi="Tenorite"/>
          <w:color w:val="000000"/>
          <w:sz w:val="21"/>
          <w:szCs w:val="21"/>
        </w:rPr>
        <w:t xml:space="preserve">After Stage K re-mining, the counts from the original gap analysis dropped sharply but did not reach zero. Per the blueprint README's residual tally: </w:t>
      </w:r>
      <w:r>
        <w:rPr>
          <w:rFonts w:ascii="Tenorite" w:cs="Tenorite" w:eastAsia="Tenorite" w:hAnsi="Tenorite"/>
          <w:b/>
          <w:bCs/>
          <w:color w:val="000000"/>
          <w:sz w:val="21"/>
          <w:szCs w:val="21"/>
        </w:rPr>
        <w:t xml:space="preserve">13 orphan requirements, 1 journey, 5 screens, and 2 entities remain genuinely gapped</w:t>
      </w:r>
      <w:r>
        <w:rPr>
          <w:rFonts w:ascii="Tenorite" w:cs="Tenorite" w:eastAsia="Tenorite" w:hAnsi="Tenorite"/>
          <w:color w:val="000000"/>
          <w:sz w:val="21"/>
          <w:szCs w:val="21"/>
        </w:rPr>
        <w:t xml:space="preserve"> (down from 109 / 16 / 85 / 27 respectively before re-mining — see </w:t>
      </w:r>
      <w:r>
        <w:rPr>
          <w:rFonts w:ascii="Tenorite" w:cs="Tenorite" w:eastAsia="Tenorite" w:hAnsi="Tenorite"/>
          <w:color w:val="000000"/>
          <w:sz w:val="21"/>
          <w:szCs w:val="21"/>
        </w:rPr>
        <w:t xml:space="preserve">gap-analysis.md</w:t>
      </w:r>
      <w:r>
        <w:rPr>
          <w:rFonts w:ascii="Tenorite" w:cs="Tenorite" w:eastAsia="Tenorite" w:hAnsi="Tenorite"/>
          <w:color w:val="000000"/>
          <w:sz w:val="21"/>
          <w:szCs w:val="21"/>
        </w:rPr>
        <w:t xml:space="preserve"> §§2, 4–6). These 21 items are exactly the "genuinely gapped" final tally in </w:t>
      </w:r>
      <w:r>
        <w:rPr>
          <w:rFonts w:ascii="Tenorite" w:cs="Tenorite" w:eastAsia="Tenorite" w:hAnsi="Tenorite"/>
          <w:color w:val="000000"/>
          <w:sz w:val="21"/>
          <w:szCs w:val="21"/>
        </w:rPr>
        <w:t xml:space="preserve">gap-resolution-stage-k.md</w:t>
      </w:r>
      <w:r>
        <w:rPr>
          <w:rFonts w:ascii="Tenorite" w:cs="Tenorite" w:eastAsia="Tenorite" w:hAnsi="Tenorite"/>
          <w:color w:val="000000"/>
          <w:sz w:val="21"/>
          <w:szCs w:val="21"/>
        </w:rPr>
        <w:t xml:space="preserve">'s summary table.</w:t>
      </w:r>
    </w:p>
    <w:p>
      <w:pPr>
        <w:spacing w:after="160" w:line="300"/>
      </w:pPr>
      <w:r>
        <w:rPr>
          <w:rFonts w:ascii="Tenorite" w:cs="Tenorite" w:eastAsia="Tenorite" w:hAnsi="Tenorite"/>
          <w:b/>
          <w:bCs/>
          <w:color w:val="000000"/>
          <w:sz w:val="21"/>
          <w:szCs w:val="21"/>
        </w:rPr>
        <w:t xml:space="preserve">Orphan requirements (13)</w:t>
      </w:r>
      <w:r>
        <w:rPr>
          <w:rFonts w:ascii="Tenorite" w:cs="Tenorite" w:eastAsia="Tenorite" w:hAnsi="Tenorite"/>
          <w:color w:val="000000"/>
          <w:sz w:val="21"/>
          <w:szCs w:val="21"/>
        </w:rPr>
        <w:t xml:space="preserve"> — each carries a labeled Recommended Assumption grounded, where possible, in an analogous evidenced pattern elsewhere in the corpus:</w:t>
      </w:r>
    </w:p>
    <w:p>
      <w:pPr>
        <w:pStyle w:val="ListParagraph"/>
        <w:numPr>
          <w:ilvl w:val="0"/>
          <w:numId w:val="1"/>
        </w:numPr>
        <w:spacing w:after="80"/>
      </w:pPr>
      <w:r>
        <w:rPr>
          <w:rFonts w:ascii="Tenorite" w:cs="Tenorite" w:eastAsia="Tenorite" w:hAnsi="Tenorite"/>
          <w:b/>
          <w:bCs/>
          <w:color w:val="000000"/>
          <w:sz w:val="21"/>
          <w:szCs w:val="21"/>
        </w:rPr>
        <w:t xml:space="preserve">REQ-024</w:t>
      </w:r>
      <w:r>
        <w:rPr>
          <w:rFonts w:ascii="Tenorite" w:cs="Tenorite" w:eastAsia="Tenorite" w:hAnsi="Tenorite"/>
          <w:color w:val="000000"/>
          <w:sz w:val="21"/>
          <w:szCs w:val="21"/>
        </w:rPr>
        <w:t xml:space="preserve"> (connection count not visible in Siebel/invoice) — likely home is Account Summary/Billing Profile as an added field, but placement is inferred, not evidenced.</w:t>
      </w:r>
    </w:p>
    <w:p>
      <w:pPr>
        <w:pStyle w:val="ListParagraph"/>
        <w:numPr>
          <w:ilvl w:val="0"/>
          <w:numId w:val="1"/>
        </w:numPr>
        <w:spacing w:after="80"/>
      </w:pPr>
      <w:r>
        <w:rPr>
          <w:rFonts w:ascii="Tenorite" w:cs="Tenorite" w:eastAsia="Tenorite" w:hAnsi="Tenorite"/>
          <w:b/>
          <w:bCs/>
          <w:color w:val="000000"/>
          <w:sz w:val="21"/>
          <w:szCs w:val="21"/>
        </w:rPr>
        <w:t xml:space="preserve">REQ-057/058/059</w:t>
      </w:r>
      <w:r>
        <w:rPr>
          <w:rFonts w:ascii="Tenorite" w:cs="Tenorite" w:eastAsia="Tenorite" w:hAnsi="Tenorite"/>
          <w:color w:val="000000"/>
          <w:sz w:val="21"/>
          <w:szCs w:val="21"/>
        </w:rPr>
        <w:t xml:space="preserve"> (multiple bill-email CC recipients; async email-verification callback; AutoPay status view-only in Customer 360) — discussed only as business decisions in workshop transcripts; no screen is ever named, especially for REQ-058.</w:t>
      </w:r>
    </w:p>
    <w:p>
      <w:pPr>
        <w:pStyle w:val="ListParagraph"/>
        <w:numPr>
          <w:ilvl w:val="0"/>
          <w:numId w:val="1"/>
        </w:numPr>
        <w:spacing w:after="80"/>
      </w:pPr>
      <w:r>
        <w:rPr>
          <w:rFonts w:ascii="Tenorite" w:cs="Tenorite" w:eastAsia="Tenorite" w:hAnsi="Tenorite"/>
          <w:b/>
          <w:bCs/>
          <w:color w:val="000000"/>
          <w:sz w:val="21"/>
          <w:szCs w:val="21"/>
        </w:rPr>
        <w:t xml:space="preserve">REQ-061</w:t>
      </w:r>
      <w:r>
        <w:rPr>
          <w:rFonts w:ascii="Tenorite" w:cs="Tenorite" w:eastAsia="Tenorite" w:hAnsi="Tenorite"/>
          <w:color w:val="000000"/>
          <w:sz w:val="21"/>
          <w:szCs w:val="21"/>
        </w:rPr>
        <w:t xml:space="preserve"> (auto-resolve ticket on disallowed bill-cycle change) — inferred to attach to the "Bill Cycle Change" ticket screen implied elsewhere in the same transcript.</w:t>
      </w:r>
    </w:p>
    <w:p>
      <w:pPr>
        <w:pStyle w:val="ListParagraph"/>
        <w:numPr>
          <w:ilvl w:val="0"/>
          <w:numId w:val="1"/>
        </w:numPr>
        <w:spacing w:after="80"/>
      </w:pPr>
      <w:r>
        <w:rPr>
          <w:rFonts w:ascii="Tenorite" w:cs="Tenorite" w:eastAsia="Tenorite" w:hAnsi="Tenorite"/>
          <w:b/>
          <w:bCs/>
          <w:color w:val="000000"/>
          <w:sz w:val="21"/>
          <w:szCs w:val="21"/>
        </w:rPr>
        <w:t xml:space="preserve">REQ-081</w:t>
      </w:r>
      <w:r>
        <w:rPr>
          <w:rFonts w:ascii="Tenorite" w:cs="Tenorite" w:eastAsia="Tenorite" w:hAnsi="Tenorite"/>
          <w:color w:val="000000"/>
          <w:sz w:val="21"/>
          <w:szCs w:val="21"/>
        </w:rPr>
        <w:t xml:space="preserve"> (QID scan-and-attach required only when a transaction changes account/service) — the rule itself is confirmed, but the source explicitly says "screen steps are not being discussed now."</w:t>
      </w:r>
    </w:p>
    <w:p>
      <w:pPr>
        <w:pStyle w:val="ListParagraph"/>
        <w:numPr>
          <w:ilvl w:val="0"/>
          <w:numId w:val="1"/>
        </w:numPr>
        <w:spacing w:after="80"/>
      </w:pPr>
      <w:r>
        <w:rPr>
          <w:rFonts w:ascii="Tenorite" w:cs="Tenorite" w:eastAsia="Tenorite" w:hAnsi="Tenorite"/>
          <w:b/>
          <w:bCs/>
          <w:color w:val="000000"/>
          <w:sz w:val="21"/>
          <w:szCs w:val="21"/>
        </w:rPr>
        <w:t xml:space="preserve">REQ-085/086</w:t>
      </w:r>
      <w:r>
        <w:rPr>
          <w:rFonts w:ascii="Tenorite" w:cs="Tenorite" w:eastAsia="Tenorite" w:hAnsi="Tenorite"/>
          <w:color w:val="000000"/>
          <w:sz w:val="21"/>
          <w:szCs w:val="21"/>
        </w:rPr>
        <w:t xml:space="preserve"> (auto-select numbers for fixed/prepaid; pre-select next appointment slot) — no screen ID given beyond generic step names.</w:t>
      </w:r>
    </w:p>
    <w:p>
      <w:pPr>
        <w:pStyle w:val="ListParagraph"/>
        <w:numPr>
          <w:ilvl w:val="0"/>
          <w:numId w:val="1"/>
        </w:numPr>
        <w:spacing w:after="80"/>
      </w:pPr>
      <w:r>
        <w:rPr>
          <w:rFonts w:ascii="Tenorite" w:cs="Tenorite" w:eastAsia="Tenorite" w:hAnsi="Tenorite"/>
          <w:b/>
          <w:bCs/>
          <w:color w:val="000000"/>
          <w:sz w:val="21"/>
          <w:szCs w:val="21"/>
        </w:rPr>
        <w:t xml:space="preserve">REQ-161</w:t>
      </w:r>
      <w:r>
        <w:rPr>
          <w:rFonts w:ascii="Tenorite" w:cs="Tenorite" w:eastAsia="Tenorite" w:hAnsi="Tenorite"/>
          <w:color w:val="000000"/>
          <w:sz w:val="21"/>
          <w:szCs w:val="21"/>
        </w:rPr>
        <w:t xml:space="preserve"> (appointment slot capacity/"Full" state) — no screenshot anywhere shows a disabled/full slot; assumption is full slots are omitted from the list, by analogy to Number Selection.</w:t>
      </w:r>
    </w:p>
    <w:p>
      <w:pPr>
        <w:pStyle w:val="ListParagraph"/>
        <w:numPr>
          <w:ilvl w:val="0"/>
          <w:numId w:val="1"/>
        </w:numPr>
        <w:spacing w:after="80"/>
      </w:pPr>
      <w:r>
        <w:rPr>
          <w:rFonts w:ascii="Tenorite" w:cs="Tenorite" w:eastAsia="Tenorite" w:hAnsi="Tenorite"/>
          <w:b/>
          <w:bCs/>
          <w:color w:val="000000"/>
          <w:sz w:val="21"/>
          <w:szCs w:val="21"/>
        </w:rPr>
        <w:t xml:space="preserve">REQ-272/273/277</w:t>
      </w:r>
      <w:r>
        <w:rPr>
          <w:rFonts w:ascii="Tenorite" w:cs="Tenorite" w:eastAsia="Tenorite" w:hAnsi="Tenorite"/>
          <w:color w:val="000000"/>
          <w:sz w:val="21"/>
          <w:szCs w:val="21"/>
        </w:rPr>
        <w:t xml:space="preserve"> (Star Number pricing matrix; CAF template matrix by role/channel; HRN advance-payment matrix) — all three trace to explicit </w:t>
      </w:r>
      <w:r>
        <w:rPr>
          <w:rFonts w:ascii="Tenorite" w:cs="Tenorite" w:eastAsia="Tenorite" w:hAnsi="Tenorite"/>
          <w:b/>
          <w:bCs/>
          <w:color w:val="000000"/>
          <w:sz w:val="21"/>
          <w:szCs w:val="21"/>
        </w:rPr>
        <w:t xml:space="preserve">open BRSD Dependencies</w:t>
      </w:r>
      <w:r>
        <w:rPr>
          <w:rFonts w:ascii="Tenorite" w:cs="Tenorite" w:eastAsia="Tenorite" w:hAnsi="Tenorite"/>
          <w:color w:val="000000"/>
          <w:sz w:val="21"/>
          <w:szCs w:val="21"/>
        </w:rPr>
        <w:t xml:space="preserve"> (D-02, D-03, D-08) VFQ has not yet supplied — genuinely pending inputs, not analysis gaps.</w:t>
      </w:r>
    </w:p>
    <w:p>
      <w:pPr>
        <w:pStyle w:val="ListParagraph"/>
        <w:numPr>
          <w:ilvl w:val="0"/>
          <w:numId w:val="1"/>
        </w:numPr>
        <w:spacing w:after="80"/>
      </w:pPr>
      <w:r>
        <w:rPr>
          <w:rFonts w:ascii="Tenorite" w:cs="Tenorite" w:eastAsia="Tenorite" w:hAnsi="Tenorite"/>
          <w:b/>
          <w:bCs/>
          <w:color w:val="000000"/>
          <w:sz w:val="21"/>
          <w:szCs w:val="21"/>
        </w:rPr>
        <w:t xml:space="preserve">REQ-308</w:t>
      </w:r>
      <w:r>
        <w:rPr>
          <w:rFonts w:ascii="Tenorite" w:cs="Tenorite" w:eastAsia="Tenorite" w:hAnsi="Tenorite"/>
          <w:color w:val="000000"/>
          <w:sz w:val="21"/>
          <w:szCs w:val="21"/>
        </w:rPr>
        <w:t xml:space="preserve"> (MVA customer-initiated requests routed as reports) — one sentence in a slide deck, no diagram or screen.</w:t>
      </w:r>
    </w:p>
    <w:p>
      <w:pPr>
        <w:spacing w:after="160" w:line="300"/>
      </w:pPr>
      <w:r>
        <w:rPr>
          <w:rFonts w:ascii="Tenorite" w:cs="Tenorite" w:eastAsia="Tenorite" w:hAnsi="Tenorite"/>
          <w:b/>
          <w:bCs/>
          <w:color w:val="000000"/>
          <w:sz w:val="21"/>
          <w:szCs w:val="21"/>
        </w:rPr>
        <w:t xml:space="preserve">Journey (1): UJ-006 Enterprise/IoT Order-to-Billing Flow.</w:t>
      </w:r>
      <w:r>
        <w:rPr>
          <w:rFonts w:ascii="Tenorite" w:cs="Tenorite" w:eastAsia="Tenorite" w:hAnsi="Tenorite"/>
          <w:color w:val="000000"/>
          <w:sz w:val="21"/>
          <w:szCs w:val="21"/>
        </w:rPr>
        <w:t xml:space="preserve"> Described only at coarse phase level (account manager → EBU PM → order → four-team acceptance → delivery → billing), no actor-by-actor breakdown, and the source recording cuts off mid-session with enterprise SMEs deferred to a follow-up week. </w:t>
      </w:r>
      <w:r>
        <w:rPr>
          <w:rFonts w:ascii="Tenorite" w:cs="Tenorite" w:eastAsia="Tenorite" w:hAnsi="Tenorite"/>
          <w:color w:val="000000"/>
          <w:sz w:val="21"/>
          <w:szCs w:val="21"/>
        </w:rPr>
        <w:t xml:space="preserve">gap-resolution-stage-k.md</w:t>
      </w:r>
      <w:r>
        <w:rPr>
          <w:rFonts w:ascii="Tenorite" w:cs="Tenorite" w:eastAsia="Tenorite" w:hAnsi="Tenorite"/>
          <w:color w:val="000000"/>
          <w:sz w:val="21"/>
          <w:szCs w:val="21"/>
        </w:rPr>
        <w:t xml:space="preserve"> explicitly recommends </w:t>
      </w:r>
      <w:r>
        <w:rPr>
          <w:rFonts w:ascii="Tenorite" w:cs="Tenorite" w:eastAsia="Tenorite" w:hAnsi="Tenorite"/>
          <w:b/>
          <w:bCs/>
          <w:color w:val="000000"/>
          <w:sz w:val="21"/>
          <w:szCs w:val="21"/>
        </w:rPr>
        <w:t xml:space="preserve">against</w:t>
      </w:r>
      <w:r>
        <w:rPr>
          <w:rFonts w:ascii="Tenorite" w:cs="Tenorite" w:eastAsia="Tenorite" w:hAnsi="Tenorite"/>
          <w:color w:val="000000"/>
          <w:sz w:val="21"/>
          <w:szCs w:val="21"/>
        </w:rPr>
        <w:t xml:space="preserve"> fabricating steps by analogy to consumer journeys, since the source frames this as a structurally different ("vanilla," CR-number-driven) process.</w:t>
      </w:r>
    </w:p>
    <w:p>
      <w:pPr>
        <w:spacing w:after="160" w:line="300"/>
      </w:pPr>
      <w:r>
        <w:rPr>
          <w:rFonts w:ascii="Tenorite" w:cs="Tenorite" w:eastAsia="Tenorite" w:hAnsi="Tenorite"/>
          <w:b/>
          <w:bCs/>
          <w:color w:val="000000"/>
          <w:sz w:val="21"/>
          <w:szCs w:val="21"/>
        </w:rPr>
        <w:t xml:space="preserve">Screens (5), each with a proposed interim analogy pending a real screenshot:</w:t>
      </w:r>
      <w:r>
        <w:rPr>
          <w:rFonts w:ascii="Tenorite" w:cs="Tenorite" w:eastAsia="Tenorite" w:hAnsi="Tenorite"/>
          <w:color w:val="000000"/>
          <w:sz w:val="21"/>
          <w:szCs w:val="21"/>
        </w:rPr>
        <w:t xml:space="preserve"> SCR-008 EBU Number Portal (purpose confirmed, no UI captured); SCR-026 DXP Product Catalog target-state (greenfield, no mockup — analogy: evidenced Postpaid HRN Plan step); SCR-142 My Leads list (analogy: sibling "My Created Leads"/"Manage Leads" grids in the same doc); SCR-159 Plan/Product Catalog step (analogy: Number Selection two-grid pattern); SCR-207 Contact Portal (only a link to it is evidenced, never its content — treat as a stub reference).</w:t>
      </w:r>
    </w:p>
    <w:p>
      <w:pPr>
        <w:spacing w:after="160" w:line="300"/>
      </w:pPr>
      <w:r>
        <w:rPr>
          <w:rFonts w:ascii="Tenorite" w:cs="Tenorite" w:eastAsia="Tenorite" w:hAnsi="Tenorite"/>
          <w:b/>
          <w:bCs/>
          <w:color w:val="000000"/>
          <w:sz w:val="21"/>
          <w:szCs w:val="21"/>
        </w:rPr>
        <w:t xml:space="preserve">Entities (2):</w:t>
      </w:r>
      <w:r>
        <w:rPr>
          <w:rFonts w:ascii="Tenorite" w:cs="Tenorite" w:eastAsia="Tenorite" w:hAnsi="Tenorite"/>
          <w:color w:val="000000"/>
          <w:sz w:val="21"/>
          <w:szCs w:val="21"/>
        </w:rPr>
        <w:t xml:space="preserve"> ENT-042 Reject Reason — visible dropdown list is partial ("continues, scrollable"); recommended as a static lookup, with reason→re-collected-field mapping generalized from one observed example. ENT-043 Notification/SMS Message (OSB) — one rejection-triggered SMS payload is fully evidenced but no broader lifecycle/trigger catalogue exists; recommended assumption (by analogy to a sibling deck) is one controlled template per order/ticket status transition.</w:t>
      </w:r>
    </w:p>
    <w:p>
      <w:pPr>
        <w:spacing w:after="160" w:line="300"/>
      </w:pPr>
      <w:r>
        <w:rPr>
          <w:rFonts w:ascii="Tenorite" w:cs="Tenorite" w:eastAsia="Tenorite" w:hAnsi="Tenorite"/>
          <w:b/>
          <w:bCs/>
          <w:color w:val="000000"/>
          <w:sz w:val="21"/>
          <w:szCs w:val="21"/>
        </w:rPr>
        <w:t xml:space="preserve">Also flagged elsewhere:</w:t>
      </w:r>
      <w:r>
        <w:rPr>
          <w:rFonts w:ascii="Tenorite" w:cs="Tenorite" w:eastAsia="Tenorite" w:hAnsi="Tenorite"/>
          <w:color w:val="000000"/>
          <w:sz w:val="21"/>
          <w:szCs w:val="21"/>
        </w:rPr>
        <w:t xml:space="preserve"> 5 of 66 personas have zero normalized RBAC entries (</w:t>
      </w:r>
      <w:r>
        <w:rPr>
          <w:rFonts w:ascii="Tenorite" w:cs="Tenorite" w:eastAsia="Tenorite" w:hAnsi="Tenorite"/>
          <w:color w:val="000000"/>
          <w:sz w:val="21"/>
          <w:szCs w:val="21"/>
        </w:rPr>
        <w:t xml:space="preserve">gap-analysis.md</w:t>
      </w:r>
      <w:r>
        <w:rPr>
          <w:rFonts w:ascii="Tenorite" w:cs="Tenorite" w:eastAsia="Tenorite" w:hAnsi="Tenorite"/>
          <w:color w:val="000000"/>
          <w:sz w:val="21"/>
          <w:szCs w:val="21"/>
        </w:rPr>
        <w:t xml:space="preserve"> §3 — EBU PM, DSA/Store/Field Engineer, several role-family agent groups, Sales/Fulfilment VFID-KID team, Field Survey Team), and 4 modules (Billing &amp; Adjustments, Access/Roles/Approval Governance, CAF/Attachments &amp; Forms, Platform Governance &amp; Architecture) have zero journeys linked to any named capability (</w:t>
      </w:r>
      <w:r>
        <w:rPr>
          <w:rFonts w:ascii="Tenorite" w:cs="Tenorite" w:eastAsia="Tenorite" w:hAnsi="Tenorite"/>
          <w:color w:val="000000"/>
          <w:sz w:val="21"/>
          <w:szCs w:val="21"/>
        </w:rPr>
        <w:t xml:space="preserve">gap-analysis.md</w:t>
      </w:r>
      <w:r>
        <w:rPr>
          <w:rFonts w:ascii="Tenorite" w:cs="Tenorite" w:eastAsia="Tenorite" w:hAnsi="Tenorite"/>
          <w:color w:val="000000"/>
          <w:sz w:val="21"/>
          <w:szCs w:val="21"/>
        </w:rPr>
        <w:t xml:space="preserve"> §7).</w:t>
      </w:r>
    </w:p>
    <w:p>
      <w:pPr>
        <w:pStyle w:val="Heading2"/>
        <w:spacing w:after="120" w:before="260"/>
      </w:pPr>
      <w:r>
        <w:t xml:space="preserve">2. Conflicts &amp; Contradictions</w:t>
      </w:r>
    </w:p>
    <w:p>
      <w:pPr>
        <w:spacing w:after="160" w:line="300"/>
      </w:pPr>
      <w:r>
        <w:rPr>
          <w:rFonts w:ascii="Tenorite" w:cs="Tenorite" w:eastAsia="Tenorite" w:hAnsi="Tenorite"/>
          <w:color w:val="000000"/>
          <w:sz w:val="21"/>
          <w:szCs w:val="21"/>
        </w:rPr>
        <w:t xml:space="preserve">Adversarial verification was applied to every newly-found candidate conflict: a second, independent pass tried to </w:t>
      </w:r>
      <w:r>
        <w:rPr>
          <w:rFonts w:ascii="Tenorite" w:cs="Tenorite" w:eastAsia="Tenorite" w:hAnsi="Tenorite"/>
          <w:i/>
          <w:iCs/>
          <w:color w:val="000000"/>
          <w:sz w:val="21"/>
          <w:szCs w:val="21"/>
        </w:rPr>
        <w:t xml:space="preserve">refute</w:t>
      </w:r>
      <w:r>
        <w:rPr>
          <w:rFonts w:ascii="Tenorite" w:cs="Tenorite" w:eastAsia="Tenorite" w:hAnsi="Tenorite"/>
          <w:color w:val="000000"/>
          <w:sz w:val="21"/>
          <w:szCs w:val="21"/>
        </w:rPr>
        <w:t xml:space="preserve"> each one against original source files before it was accepted. Of 15 new candidates found, </w:t>
      </w:r>
      <w:r>
        <w:rPr>
          <w:rFonts w:ascii="Tenorite" w:cs="Tenorite" w:eastAsia="Tenorite" w:hAnsi="Tenorite"/>
          <w:b/>
          <w:bCs/>
          <w:color w:val="000000"/>
          <w:sz w:val="21"/>
          <w:szCs w:val="21"/>
        </w:rPr>
        <w:t xml:space="preserve">2 survived</w:t>
      </w:r>
      <w:r>
        <w:rPr>
          <w:rFonts w:ascii="Tenorite" w:cs="Tenorite" w:eastAsia="Tenorite" w:hAnsi="Tenorite"/>
          <w:color w:val="000000"/>
          <w:sz w:val="21"/>
          <w:szCs w:val="21"/>
        </w:rPr>
        <w:t xml:space="preserve"> the initial adversarial pass, and a </w:t>
      </w:r>
      <w:r>
        <w:rPr>
          <w:rFonts w:ascii="Tenorite" w:cs="Tenorite" w:eastAsia="Tenorite" w:hAnsi="Tenorite"/>
          <w:b/>
          <w:bCs/>
          <w:color w:val="000000"/>
          <w:sz w:val="21"/>
          <w:szCs w:val="21"/>
        </w:rPr>
        <w:t xml:space="preserve">3rd was added during a later Phase 2 review</w:t>
      </w:r>
      <w:r>
        <w:rPr>
          <w:rFonts w:ascii="Tenorite" w:cs="Tenorite" w:eastAsia="Tenorite" w:hAnsi="Tenorite"/>
          <w:color w:val="000000"/>
          <w:sz w:val="21"/>
          <w:szCs w:val="21"/>
        </w:rPr>
        <w:t xml:space="preserve"> (found by a separate source-confidence re-verification, not the original conflict scan) — 3 verified new conflicts in total, plus </w:t>
      </w:r>
      <w:r>
        <w:rPr>
          <w:rFonts w:ascii="Tenorite" w:cs="Tenorite" w:eastAsia="Tenorite" w:hAnsi="Tenorite"/>
          <w:b/>
          <w:bCs/>
          <w:color w:val="000000"/>
          <w:sz w:val="21"/>
          <w:szCs w:val="21"/>
        </w:rPr>
        <w:t xml:space="preserve">4 corpus-level conflicts carried forward</w:t>
      </w:r>
      <w:r>
        <w:rPr>
          <w:rFonts w:ascii="Tenorite" w:cs="Tenorite" w:eastAsia="Tenorite" w:hAnsi="Tenorite"/>
          <w:color w:val="000000"/>
          <w:sz w:val="21"/>
          <w:szCs w:val="21"/>
        </w:rPr>
        <w:t xml:space="preserve"> from Stage A document indexing (</w:t>
      </w:r>
      <w:r>
        <w:rPr>
          <w:rFonts w:ascii="Tenorite" w:cs="Tenorite" w:eastAsia="Tenorite" w:hAnsi="Tenorite"/>
          <w:color w:val="000000"/>
          <w:sz w:val="21"/>
          <w:szCs w:val="21"/>
        </w:rPr>
        <w:t xml:space="preserve">conflict-report.md</w:t>
      </w:r>
      <w:r>
        <w:rPr>
          <w:rFonts w:ascii="Tenorite" w:cs="Tenorite" w:eastAsia="Tenorite" w:hAnsi="Tenorite"/>
          <w:color w:val="000000"/>
          <w:sz w:val="21"/>
          <w:szCs w:val="21"/>
        </w:rPr>
        <w:t xml:space="preserve">).</w:t>
      </w:r>
    </w:p>
    <w:p>
      <w:pPr>
        <w:spacing w:after="160" w:line="300"/>
      </w:pPr>
      <w:r>
        <w:rPr>
          <w:rFonts w:ascii="Tenorite" w:cs="Tenorite" w:eastAsia="Tenorite" w:hAnsi="Tenorite"/>
          <w:b/>
          <w:bCs/>
          <w:color w:val="000000"/>
          <w:sz w:val="21"/>
          <w:szCs w:val="21"/>
        </w:rPr>
        <w:t xml:space="preserve">Verified new conflicts:</w:t>
      </w:r>
    </w:p>
    <w:p>
      <w:pPr>
        <w:pStyle w:val="ListParagraph"/>
        <w:numPr>
          <w:ilvl w:val="0"/>
          <w:numId w:val="2"/>
        </w:numPr>
        <w:spacing w:after="80"/>
      </w:pPr>
      <w:r>
        <w:rPr>
          <w:rFonts w:ascii="Tenorite" w:cs="Tenorite" w:eastAsia="Tenorite" w:hAnsi="Tenorite"/>
          <w:b/>
          <w:bCs/>
          <w:color w:val="000000"/>
          <w:sz w:val="21"/>
          <w:szCs w:val="21"/>
        </w:rPr>
        <w:t xml:space="preserve">Fibre outstanding-dues threshold (REQ-258 vs. REQ-276, High).</w:t>
      </w:r>
      <w:r>
        <w:rPr>
          <w:rFonts w:ascii="Tenorite" w:cs="Tenorite" w:eastAsia="Tenorite" w:hAnsi="Tenorite"/>
          <w:color w:val="000000"/>
          <w:sz w:val="21"/>
          <w:szCs w:val="21"/>
        </w:rPr>
        <w:t xml:space="preserve"> The Fibre BRSD's own Open Items log (OI-04) states, verbatim, that the outstanding-dues threshold for a fibre order is described inconsistently: one part says it "should differ from mobility" (a distinct fibre-specific QAR limit), another says it "should be the same" as the mobility/postpaid threshold. Corroborated by BR-033 (status Open, threshold "to be supplied by VFQ") and parameter P-17 (value "to be confirmed"), while a separate requirement (FAR_001_ECC_01) explicitly states fibre credit-control "will follow the same capability... as Mobile Post Paid." No numeric value is resolved anywhere. Left unresolved, credit-check logic cannot be built deterministically. </w:t>
      </w:r>
      <w:r>
        <w:rPr>
          <w:rFonts w:ascii="Tenorite" w:cs="Tenorite" w:eastAsia="Tenorite" w:hAnsi="Tenorite"/>
          <w:b/>
          <w:bCs/>
          <w:color w:val="000000"/>
          <w:sz w:val="21"/>
          <w:szCs w:val="21"/>
        </w:rPr>
        <w:t xml:space="preserve">Resolution:</w:t>
      </w:r>
      <w:r>
        <w:rPr>
          <w:rFonts w:ascii="Tenorite" w:cs="Tenorite" w:eastAsia="Tenorite" w:hAnsi="Tenorite"/>
          <w:color w:val="000000"/>
          <w:sz w:val="21"/>
          <w:szCs w:val="21"/>
        </w:rPr>
        <w:t xml:space="preserve"> escalate to VFQ Collections/Credit Control for one authoritative value.</w:t>
      </w:r>
    </w:p>
    <w:p>
      <w:pPr>
        <w:pStyle w:val="ListParagraph"/>
        <w:numPr>
          <w:ilvl w:val="0"/>
          <w:numId w:val="2"/>
        </w:numPr>
        <w:spacing w:after="80"/>
      </w:pPr>
      <w:r>
        <w:rPr>
          <w:rFonts w:ascii="Tenorite" w:cs="Tenorite" w:eastAsia="Tenorite" w:hAnsi="Tenorite"/>
          <w:b/>
          <w:bCs/>
          <w:color w:val="000000"/>
          <w:sz w:val="21"/>
          <w:szCs w:val="21"/>
        </w:rPr>
        <w:t xml:space="preserve">ZSB mandatory-for-mobile (REQ-112 vs. REQ-051, Medium).</w:t>
      </w:r>
      <w:r>
        <w:rPr>
          <w:rFonts w:ascii="Tenorite" w:cs="Tenorite" w:eastAsia="Tenorite" w:hAnsi="Tenorite"/>
          <w:color w:val="000000"/>
          <w:sz w:val="21"/>
          <w:szCs w:val="21"/>
        </w:rPr>
        <w:t xml:space="preserve"> The as-is Consumer Activation Process manual (v8.0) states, identically worded in both its Prepaid (2.1.15) and Postpaid (3.1.12) sections, that it is "mandatory to capture ZSB (Zone, Street, Building detail)... in activation journey," with no fixed/FWA qualifier — and the manual's own Fiber/FWA section was removed in v6.0, so there's no alternate section this could belong to instead. A separate workshop (Day7-Session1) states as a design decision that ZSB is mandatory </w:t>
      </w:r>
      <w:r>
        <w:rPr>
          <w:rFonts w:ascii="Tenorite" w:cs="Tenorite" w:eastAsia="Tenorite" w:hAnsi="Tenorite"/>
          <w:i/>
          <w:iCs/>
          <w:color w:val="000000"/>
          <w:sz w:val="21"/>
          <w:szCs w:val="21"/>
        </w:rPr>
        <w:t xml:space="preserve">only</w:t>
      </w:r>
      <w:r>
        <w:rPr>
          <w:rFonts w:ascii="Tenorite" w:cs="Tenorite" w:eastAsia="Tenorite" w:hAnsi="Tenorite"/>
          <w:color w:val="000000"/>
          <w:sz w:val="21"/>
          <w:szCs w:val="21"/>
        </w:rPr>
        <w:t xml:space="preserve"> for FWA 5G/fixed/fiber — explicitly not mobile, which uses a shared, unchangeable dummy address record. Inheriting the legacy rule for mobile would force agents to edit a record shared by every mobile customer; following the workshop decision contradicts the versioned manual. </w:t>
      </w:r>
      <w:r>
        <w:rPr>
          <w:rFonts w:ascii="Tenorite" w:cs="Tenorite" w:eastAsia="Tenorite" w:hAnsi="Tenorite"/>
          <w:b/>
          <w:bCs/>
          <w:color w:val="000000"/>
          <w:sz w:val="21"/>
          <w:szCs w:val="21"/>
        </w:rPr>
        <w:t xml:space="preserve">Resolution:</w:t>
      </w:r>
      <w:r>
        <w:rPr>
          <w:rFonts w:ascii="Tenorite" w:cs="Tenorite" w:eastAsia="Tenorite" w:hAnsi="Tenorite"/>
          <w:color w:val="000000"/>
          <w:sz w:val="21"/>
          <w:szCs w:val="21"/>
        </w:rPr>
        <w:t xml:space="preserve"> confirm with COPS &amp; Digital / Customer Data Management, the manual's own approvers.</w:t>
      </w:r>
    </w:p>
    <w:p>
      <w:pPr>
        <w:pStyle w:val="ListParagraph"/>
        <w:numPr>
          <w:ilvl w:val="0"/>
          <w:numId w:val="2"/>
        </w:numPr>
        <w:spacing w:after="80"/>
      </w:pPr>
      <w:r>
        <w:rPr>
          <w:rFonts w:ascii="Tenorite" w:cs="Tenorite" w:eastAsia="Tenorite" w:hAnsi="Tenorite"/>
          <w:b/>
          <w:bCs/>
          <w:color w:val="000000"/>
          <w:sz w:val="21"/>
          <w:szCs w:val="21"/>
        </w:rPr>
        <w:t xml:space="preserve">Mobile Suspension/Resume channel (REQ-299/302 vs. PERSONA-021/BR-059, High, added 2026-08-23).</w:t>
      </w:r>
      <w:r>
        <w:rPr>
          <w:rFonts w:ascii="Tenorite" w:cs="Tenorite" w:eastAsia="Tenorite" w:hAnsi="Tenorite"/>
          <w:color w:val="000000"/>
          <w:sz w:val="21"/>
          <w:szCs w:val="21"/>
        </w:rPr>
        <w:t xml:space="preserve"> One source (50/100 Medium-Low confidence) frames Suspension/Resume as multi-channel — Email, Phone, or Retail Counter. An independently recorded workshop on the actual redesign of this capability (High confidence, corroborated by BR-059's specific 35 QAR/4-month/zero-credit-limit "Park Plan" definition) states the redesign made this deliberately back-office-only, role-restricted, and explicitly "not a retail journey." Building the multi-channel version exposes a restricted process to unauthorized retail intake; building the back-office-only version means UJ-107/UJ-108 as currently specified are wrong. </w:t>
      </w:r>
      <w:r>
        <w:rPr>
          <w:rFonts w:ascii="Tenorite" w:cs="Tenorite" w:eastAsia="Tenorite" w:hAnsi="Tenorite"/>
          <w:b/>
          <w:bCs/>
          <w:color w:val="000000"/>
          <w:sz w:val="21"/>
          <w:szCs w:val="21"/>
        </w:rPr>
        <w:t xml:space="preserve">Resolution:</w:t>
      </w:r>
      <w:r>
        <w:rPr>
          <w:rFonts w:ascii="Tenorite" w:cs="Tenorite" w:eastAsia="Tenorite" w:hAnsi="Tenorite"/>
          <w:color w:val="000000"/>
          <w:sz w:val="21"/>
          <w:szCs w:val="21"/>
        </w:rPr>
        <w:t xml:space="preserve"> treat the higher-confidence back-office-only source as authoritative pending stakeholder confirmation. This is the same conflict noted against PERSONA-015/PERSONA-021 in the Personas &amp; Roles section above.</w:t>
      </w:r>
    </w:p>
    <w:p>
      <w:pPr>
        <w:spacing w:after="160" w:line="300"/>
      </w:pPr>
      <w:r>
        <w:rPr>
          <w:rFonts w:ascii="Tenorite" w:cs="Tenorite" w:eastAsia="Tenorite" w:hAnsi="Tenorite"/>
          <w:b/>
          <w:bCs/>
          <w:color w:val="000000"/>
          <w:sz w:val="21"/>
          <w:szCs w:val="21"/>
        </w:rPr>
        <w:t xml:space="preserve">Corpus-level conflicts carried forward from Stage A indexing</w:t>
      </w:r>
      <w:r>
        <w:rPr>
          <w:rFonts w:ascii="Tenorite" w:cs="Tenorite" w:eastAsia="Tenorite" w:hAnsi="Tenorite"/>
          <w:color w:val="000000"/>
          <w:sz w:val="21"/>
          <w:szCs w:val="21"/>
        </w:rPr>
        <w:t xml:space="preserve"> (not new findings, but material for a new reader):</w:t>
      </w:r>
    </w:p>
    <w:p>
      <w:pPr>
        <w:pStyle w:val="ListParagraph"/>
        <w:numPr>
          <w:ilvl w:val="0"/>
          <w:numId w:val="2"/>
        </w:numPr>
        <w:spacing w:after="80"/>
      </w:pPr>
      <w:r>
        <w:rPr>
          <w:rFonts w:ascii="Tenorite" w:cs="Tenorite" w:eastAsia="Tenorite" w:hAnsi="Tenorite"/>
          <w:b/>
          <w:bCs/>
          <w:color w:val="000000"/>
          <w:sz w:val="21"/>
          <w:szCs w:val="21"/>
        </w:rPr>
        <w:t xml:space="preserve">Duplicate Form ID PCA001</w:t>
      </w:r>
      <w:r>
        <w:rPr>
          <w:rFonts w:ascii="Tenorite" w:cs="Tenorite" w:eastAsia="Tenorite" w:hAnsi="Tenorite"/>
          <w:color w:val="000000"/>
          <w:sz w:val="21"/>
          <w:szCs w:val="21"/>
        </w:rPr>
        <w:t xml:space="preserve"> (Medium) — the Consumer Postpaid CAF and Consumer Prepaid CAF share the identical Form ID despite being distinct forms, likely a template numbering error.</w:t>
      </w:r>
    </w:p>
    <w:p>
      <w:pPr>
        <w:pStyle w:val="ListParagraph"/>
        <w:numPr>
          <w:ilvl w:val="0"/>
          <w:numId w:val="2"/>
        </w:numPr>
        <w:spacing w:after="80"/>
      </w:pPr>
      <w:r>
        <w:rPr>
          <w:rFonts w:ascii="Tenorite" w:cs="Tenorite" w:eastAsia="Tenorite" w:hAnsi="Tenorite"/>
          <w:b/>
          <w:bCs/>
          <w:color w:val="000000"/>
          <w:sz w:val="21"/>
          <w:szCs w:val="21"/>
        </w:rPr>
        <w:t xml:space="preserve">Uncorroborated "UpdateV1.0" version marker</w:t>
      </w:r>
      <w:r>
        <w:rPr>
          <w:rFonts w:ascii="Tenorite" w:cs="Tenorite" w:eastAsia="Tenorite" w:hAnsi="Tenorite"/>
          <w:color w:val="000000"/>
          <w:sz w:val="21"/>
          <w:szCs w:val="21"/>
        </w:rPr>
        <w:t xml:space="preserve"> (Low) — a workshop deck's filename implies a prior version, but no changelog or prior document in the corpus substantiates what changed.</w:t>
      </w:r>
    </w:p>
    <w:p>
      <w:pPr>
        <w:pStyle w:val="ListParagraph"/>
        <w:numPr>
          <w:ilvl w:val="0"/>
          <w:numId w:val="2"/>
        </w:numPr>
        <w:spacing w:after="80"/>
      </w:pPr>
      <w:r>
        <w:rPr>
          <w:rFonts w:ascii="Tenorite" w:cs="Tenorite" w:eastAsia="Tenorite" w:hAnsi="Tenorite"/>
          <w:b/>
          <w:bCs/>
          <w:color w:val="000000"/>
          <w:sz w:val="21"/>
          <w:szCs w:val="21"/>
        </w:rPr>
        <w:t xml:space="preserve">Two near-duplicate CRM Journey workbooks</w:t>
      </w:r>
      <w:r>
        <w:rPr>
          <w:rFonts w:ascii="Tenorite" w:cs="Tenorite" w:eastAsia="Tenorite" w:hAnsi="Tenorite"/>
          <w:color w:val="000000"/>
          <w:sz w:val="21"/>
          <w:szCs w:val="21"/>
        </w:rPr>
        <w:t xml:space="preserve"> (Low) — the same 165-row list exists in two files; the "_with_Type" version (authoritative throughout this blueprint) adds the Type taxonomy the gap analysis depends on, while dropping the other file's screen-count sheets.</w:t>
      </w:r>
    </w:p>
    <w:p>
      <w:pPr>
        <w:pStyle w:val="ListParagraph"/>
        <w:numPr>
          <w:ilvl w:val="0"/>
          <w:numId w:val="2"/>
        </w:numPr>
        <w:spacing w:after="80"/>
      </w:pPr>
      <w:r>
        <w:rPr>
          <w:rFonts w:ascii="Tenorite" w:cs="Tenorite" w:eastAsia="Tenorite" w:hAnsi="Tenorite"/>
          <w:b/>
          <w:bCs/>
          <w:color w:val="000000"/>
          <w:sz w:val="21"/>
          <w:szCs w:val="21"/>
        </w:rPr>
        <w:t xml:space="preserve">Two damaged/incomplete workshop recordings</w:t>
      </w:r>
      <w:r>
        <w:rPr>
          <w:rFonts w:ascii="Tenorite" w:cs="Tenorite" w:eastAsia="Tenorite" w:hAnsi="Tenorite"/>
          <w:color w:val="000000"/>
          <w:sz w:val="21"/>
          <w:szCs w:val="21"/>
        </w:rPr>
        <w:t xml:space="preserve"> (Medium) — Day 11 Session 2 (Enterprise IoT/M2M) cuts off at 01:09:25; Day 5 Session 1 (QID scanning) only decoded ~29 of 186 minutes. Both cap downstream confidence at medium for personas, requirements, and business rules sourced solely from them.</w:t>
      </w:r>
    </w:p>
    <w:p>
      <w:pPr>
        <w:pStyle w:val="Heading2"/>
        <w:spacing w:after="120" w:before="260"/>
      </w:pPr>
      <w:r>
        <w:t xml:space="preserve">3. Coverage Report Summary</w:t>
      </w:r>
    </w:p>
    <w:p>
      <w:pPr>
        <w:spacing w:after="160" w:line="300"/>
      </w:pPr>
      <w:r>
        <w:rPr>
          <w:rFonts w:ascii="Tenorite" w:cs="Tenorite" w:eastAsia="Tenorite" w:hAnsi="Tenorite"/>
          <w:color w:val="000000"/>
          <w:sz w:val="21"/>
          <w:szCs w:val="21"/>
        </w:rPr>
        <w:t xml:space="preserve">coverage-report.md</w:t>
      </w:r>
      <w:r>
        <w:rPr>
          <w:rFonts w:ascii="Tenorite" w:cs="Tenorite" w:eastAsia="Tenorite" w:hAnsi="Tenorite"/>
          <w:color w:val="000000"/>
          <w:sz w:val="21"/>
          <w:szCs w:val="21"/>
        </w:rPr>
        <w:t xml:space="preserve"> aggregates coverage across seven item-type dimensions — </w:t>
      </w:r>
      <w:r>
        <w:rPr>
          <w:rFonts w:ascii="Tenorite" w:cs="Tenorite" w:eastAsia="Tenorite" w:hAnsi="Tenorite"/>
          <w:b/>
          <w:bCs/>
          <w:color w:val="000000"/>
          <w:sz w:val="21"/>
          <w:szCs w:val="21"/>
        </w:rPr>
        <w:t xml:space="preserve">1,545 total discovered items</w:t>
      </w:r>
      <w:r>
        <w:rPr>
          <w:rFonts w:ascii="Tenorite" w:cs="Tenorite" w:eastAsia="Tenorite" w:hAnsi="Tenorite"/>
          <w:color w:val="000000"/>
          <w:sz w:val="21"/>
          <w:szCs w:val="21"/>
        </w:rPr>
        <w:t xml:space="preserve">, every one of which is either linked forward to a Module/Screen/Rule/Test or explicitly tracked as a named gap:</w:t>
      </w:r>
    </w:p>
    <w:tbl>
      <w:tblPr>
        <w:tblW w:type="dxa" w:w="9350"/>
        <w:tblBorders>
          <w:top w:val="single" w:color="BFBFBF" w:sz="4"/>
          <w:left w:val="single" w:color="BFBFBF" w:sz="4"/>
          <w:bottom w:val="single" w:color="BFBFBF" w:sz="4"/>
          <w:right w:val="single" w:color="BFBFBF" w:sz="4"/>
          <w:insideH w:val="single" w:color="D9D9D9" w:sz="4"/>
          <w:insideV w:val="single" w:color="D9D9D9" w:sz="4"/>
        </w:tblBorders>
      </w:tblPr>
      <w:tblGrid>
        <w:gridCol w:w="1558"/>
        <w:gridCol w:w="1558"/>
        <w:gridCol w:w="1558"/>
        <w:gridCol w:w="1558"/>
        <w:gridCol w:w="1558"/>
        <w:gridCol w:w="1558"/>
      </w:tblGrid>
      <w:tr>
        <w:trPr>
          <w:tblHeader/>
        </w:trPr>
        <w:tc>
          <w:tcPr>
            <w:tcW w:type="dxa" w:w="1558"/>
            <w:shd w:fill="E8E8E8" w:val="clear"/>
            <w:tcMar>
              <w:top w:type="dxa" w:w="60"/>
              <w:left w:type="dxa" w:w="100"/>
              <w:bottom w:type="dxa" w:w="60"/>
              <w:right w:type="dxa" w:w="100"/>
            </w:tcMar>
            <w:vAlign w:val="center"/>
          </w:tcPr>
          <w:p>
            <w:pPr>
              <w:spacing w:after="0"/>
            </w:pPr>
            <w:r>
              <w:rPr>
                <w:rFonts w:ascii="Tenorite" w:cs="Tenorite" w:eastAsia="Tenorite" w:hAnsi="Tenorite"/>
                <w:b/>
                <w:bCs/>
                <w:color w:val="7030A0"/>
                <w:sz w:val="18"/>
                <w:szCs w:val="18"/>
              </w:rPr>
              <w:t xml:space="preserve">Item type</w:t>
            </w:r>
          </w:p>
        </w:tc>
        <w:tc>
          <w:tcPr>
            <w:tcW w:type="dxa" w:w="1558"/>
            <w:shd w:fill="E8E8E8" w:val="clear"/>
            <w:tcMar>
              <w:top w:type="dxa" w:w="60"/>
              <w:left w:type="dxa" w:w="100"/>
              <w:bottom w:type="dxa" w:w="60"/>
              <w:right w:type="dxa" w:w="100"/>
            </w:tcMar>
            <w:vAlign w:val="center"/>
          </w:tcPr>
          <w:p>
            <w:pPr>
              <w:spacing w:after="0"/>
            </w:pPr>
            <w:r>
              <w:rPr>
                <w:rFonts w:ascii="Tenorite" w:cs="Tenorite" w:eastAsia="Tenorite" w:hAnsi="Tenorite"/>
                <w:b/>
                <w:bCs/>
                <w:color w:val="7030A0"/>
                <w:sz w:val="18"/>
                <w:szCs w:val="18"/>
              </w:rPr>
              <w:t xml:space="preserve">Total</w:t>
            </w:r>
          </w:p>
        </w:tc>
        <w:tc>
          <w:tcPr>
            <w:tcW w:type="dxa" w:w="1558"/>
            <w:shd w:fill="E8E8E8" w:val="clear"/>
            <w:tcMar>
              <w:top w:type="dxa" w:w="60"/>
              <w:left w:type="dxa" w:w="100"/>
              <w:bottom w:type="dxa" w:w="60"/>
              <w:right w:type="dxa" w:w="100"/>
            </w:tcMar>
            <w:vAlign w:val="center"/>
          </w:tcPr>
          <w:p>
            <w:pPr>
              <w:spacing w:after="0"/>
            </w:pPr>
            <w:r>
              <w:rPr>
                <w:rFonts w:ascii="Tenorite" w:cs="Tenorite" w:eastAsia="Tenorite" w:hAnsi="Tenorite"/>
                <w:b/>
                <w:bCs/>
                <w:color w:val="7030A0"/>
                <w:sz w:val="18"/>
                <w:szCs w:val="18"/>
              </w:rPr>
              <w:t xml:space="preserve">Module-linked</w:t>
            </w:r>
          </w:p>
        </w:tc>
        <w:tc>
          <w:tcPr>
            <w:tcW w:type="dxa" w:w="1558"/>
            <w:shd w:fill="E8E8E8" w:val="clear"/>
            <w:tcMar>
              <w:top w:type="dxa" w:w="60"/>
              <w:left w:type="dxa" w:w="100"/>
              <w:bottom w:type="dxa" w:w="60"/>
              <w:right w:type="dxa" w:w="100"/>
            </w:tcMar>
            <w:vAlign w:val="center"/>
          </w:tcPr>
          <w:p>
            <w:pPr>
              <w:spacing w:after="0"/>
            </w:pPr>
            <w:r>
              <w:rPr>
                <w:rFonts w:ascii="Tenorite" w:cs="Tenorite" w:eastAsia="Tenorite" w:hAnsi="Tenorite"/>
                <w:b/>
                <w:bCs/>
                <w:color w:val="7030A0"/>
                <w:sz w:val="18"/>
                <w:szCs w:val="18"/>
              </w:rPr>
              <w:t xml:space="preserve">Screen/Route-linked</w:t>
            </w:r>
          </w:p>
        </w:tc>
        <w:tc>
          <w:tcPr>
            <w:tcW w:type="dxa" w:w="1558"/>
            <w:shd w:fill="E8E8E8" w:val="clear"/>
            <w:tcMar>
              <w:top w:type="dxa" w:w="60"/>
              <w:left w:type="dxa" w:w="100"/>
              <w:bottom w:type="dxa" w:w="60"/>
              <w:right w:type="dxa" w:w="100"/>
            </w:tcMar>
            <w:vAlign w:val="center"/>
          </w:tcPr>
          <w:p>
            <w:pPr>
              <w:spacing w:after="0"/>
            </w:pPr>
            <w:r>
              <w:rPr>
                <w:rFonts w:ascii="Tenorite" w:cs="Tenorite" w:eastAsia="Tenorite" w:hAnsi="Tenorite"/>
                <w:b/>
                <w:bCs/>
                <w:color w:val="7030A0"/>
                <w:sz w:val="18"/>
                <w:szCs w:val="18"/>
              </w:rPr>
              <w:t xml:space="preserve">Rule-linked</w:t>
            </w:r>
          </w:p>
        </w:tc>
        <w:tc>
          <w:tcPr>
            <w:tcW w:type="dxa" w:w="1558"/>
            <w:shd w:fill="E8E8E8" w:val="clear"/>
            <w:tcMar>
              <w:top w:type="dxa" w:w="60"/>
              <w:left w:type="dxa" w:w="100"/>
              <w:bottom w:type="dxa" w:w="60"/>
              <w:right w:type="dxa" w:w="100"/>
            </w:tcMar>
            <w:vAlign w:val="center"/>
          </w:tcPr>
          <w:p>
            <w:pPr>
              <w:spacing w:after="0"/>
            </w:pPr>
            <w:r>
              <w:rPr>
                <w:rFonts w:ascii="Tenorite" w:cs="Tenorite" w:eastAsia="Tenorite" w:hAnsi="Tenorite"/>
                <w:b/>
                <w:bCs/>
                <w:color w:val="7030A0"/>
                <w:sz w:val="18"/>
                <w:szCs w:val="18"/>
              </w:rPr>
              <w:t xml:space="preserve">Test-scenario coverage</w:t>
            </w:r>
          </w:p>
        </w:tc>
      </w:tr>
      <w:tr>
        <w:tc>
          <w:tcPr>
            <w:tcW w:type="dxa" w:w="155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Requirements</w:t>
            </w:r>
          </w:p>
        </w:tc>
        <w:tc>
          <w:tcPr>
            <w:tcW w:type="dxa" w:w="155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308</w:t>
            </w:r>
          </w:p>
        </w:tc>
        <w:tc>
          <w:tcPr>
            <w:tcW w:type="dxa" w:w="155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287 (93%)</w:t>
            </w:r>
          </w:p>
        </w:tc>
        <w:tc>
          <w:tcPr>
            <w:tcW w:type="dxa" w:w="155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via traceability matrix</w:t>
            </w:r>
          </w:p>
        </w:tc>
        <w:tc>
          <w:tcPr>
            <w:tcW w:type="dxa" w:w="155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280 rules link back</w:t>
            </w:r>
          </w:p>
        </w:tc>
        <w:tc>
          <w:tcPr>
            <w:tcW w:type="dxa" w:w="155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308 (100%)</w:t>
            </w:r>
          </w:p>
        </w:tc>
      </w:tr>
      <w:tr>
        <w:tc>
          <w:tcPr>
            <w:tcW w:type="dxa" w:w="155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Personas</w:t>
            </w:r>
          </w:p>
        </w:tc>
        <w:tc>
          <w:tcPr>
            <w:tcW w:type="dxa" w:w="155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66</w:t>
            </w:r>
          </w:p>
        </w:tc>
        <w:tc>
          <w:tcPr>
            <w:tcW w:type="dxa" w:w="155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30 module-mapped</w:t>
            </w:r>
          </w:p>
        </w:tc>
        <w:tc>
          <w:tcPr>
            <w:tcW w:type="dxa" w:w="155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via RBAC matrix</w:t>
            </w:r>
          </w:p>
        </w:tc>
        <w:tc>
          <w:tcPr>
            <w:tcW w:type="dxa" w:w="155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n/a</w:t>
            </w:r>
          </w:p>
        </w:tc>
        <w:tc>
          <w:tcPr>
            <w:tcW w:type="dxa" w:w="155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via persona-type scenarios</w:t>
            </w:r>
          </w:p>
        </w:tc>
      </w:tr>
      <w:tr>
        <w:tc>
          <w:tcPr>
            <w:tcW w:type="dxa" w:w="155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Journeys</w:t>
            </w:r>
          </w:p>
        </w:tc>
        <w:tc>
          <w:tcPr>
            <w:tcW w:type="dxa" w:w="155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111</w:t>
            </w:r>
          </w:p>
        </w:tc>
        <w:tc>
          <w:tcPr>
            <w:tcW w:type="dxa" w:w="155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114 module-feature links</w:t>
            </w:r>
          </w:p>
        </w:tc>
        <w:tc>
          <w:tcPr>
            <w:tcW w:type="dxa" w:w="155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95/111 via workflow-execution-matrix</w:t>
            </w:r>
          </w:p>
        </w:tc>
        <w:tc>
          <w:tcPr>
            <w:tcW w:type="dxa" w:w="155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via business-rule refs</w:t>
            </w:r>
          </w:p>
        </w:tc>
        <w:tc>
          <w:tcPr>
            <w:tcW w:type="dxa" w:w="155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via workflow-type scenarios</w:t>
            </w:r>
          </w:p>
        </w:tc>
      </w:tr>
      <w:tr>
        <w:tc>
          <w:tcPr>
            <w:tcW w:type="dxa" w:w="155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Screens</w:t>
            </w:r>
          </w:p>
        </w:tc>
        <w:tc>
          <w:tcPr>
            <w:tcW w:type="dxa" w:w="155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213</w:t>
            </w:r>
          </w:p>
        </w:tc>
        <w:tc>
          <w:tcPr>
            <w:tcW w:type="dxa" w:w="155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213/213 (100%)</w:t>
            </w:r>
          </w:p>
        </w:tc>
        <w:tc>
          <w:tcPr>
            <w:tcW w:type="dxa" w:w="155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213/213 routed (100%)</w:t>
            </w:r>
          </w:p>
        </w:tc>
        <w:tc>
          <w:tcPr>
            <w:tcW w:type="dxa" w:w="155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via field-inventory validation</w:t>
            </w:r>
          </w:p>
        </w:tc>
        <w:tc>
          <w:tcPr>
            <w:tcW w:type="dxa" w:w="155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213/213 navigation scenarios</w:t>
            </w:r>
          </w:p>
        </w:tc>
      </w:tr>
      <w:tr>
        <w:tc>
          <w:tcPr>
            <w:tcW w:type="dxa" w:w="155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Business Rules</w:t>
            </w:r>
          </w:p>
        </w:tc>
        <w:tc>
          <w:tcPr>
            <w:tcW w:type="dxa" w:w="155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346</w:t>
            </w:r>
          </w:p>
        </w:tc>
        <w:tc>
          <w:tcPr>
            <w:tcW w:type="dxa" w:w="155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indirect via module hierarchy</w:t>
            </w:r>
          </w:p>
        </w:tc>
        <w:tc>
          <w:tcPr>
            <w:tcW w:type="dxa" w:w="155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via validation catalogue</w:t>
            </w:r>
          </w:p>
        </w:tc>
        <w:tc>
          <w:tcPr>
            <w:tcW w:type="dxa" w:w="155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self</w:t>
            </w:r>
          </w:p>
        </w:tc>
        <w:tc>
          <w:tcPr>
            <w:tcW w:type="dxa" w:w="155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29 boundary scenarios</w:t>
            </w:r>
          </w:p>
        </w:tc>
      </w:tr>
      <w:tr>
        <w:tc>
          <w:tcPr>
            <w:tcW w:type="dxa" w:w="155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Validation Rules</w:t>
            </w:r>
          </w:p>
        </w:tc>
        <w:tc>
          <w:tcPr>
            <w:tcW w:type="dxa" w:w="155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418</w:t>
            </w:r>
          </w:p>
        </w:tc>
        <w:tc>
          <w:tcPr>
            <w:tcW w:type="dxa" w:w="155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via source screen/rule</w:t>
            </w:r>
          </w:p>
        </w:tc>
        <w:tc>
          <w:tcPr>
            <w:tcW w:type="dxa" w:w="155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281 field-level tied to field inventory</w:t>
            </w:r>
          </w:p>
        </w:tc>
        <w:tc>
          <w:tcPr>
            <w:tcW w:type="dxa" w:w="155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137 tied to business rules</w:t>
            </w:r>
          </w:p>
        </w:tc>
        <w:tc>
          <w:tcPr>
            <w:tcW w:type="dxa" w:w="155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via validation-type scenarios</w:t>
            </w:r>
          </w:p>
        </w:tc>
      </w:tr>
      <w:tr>
        <w:tc>
          <w:tcPr>
            <w:tcW w:type="dxa" w:w="155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Entities</w:t>
            </w:r>
          </w:p>
        </w:tc>
        <w:tc>
          <w:tcPr>
            <w:tcW w:type="dxa" w:w="155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83</w:t>
            </w:r>
          </w:p>
        </w:tc>
        <w:tc>
          <w:tcPr>
            <w:tcW w:type="dxa" w:w="155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via domain model</w:t>
            </w:r>
          </w:p>
        </w:tc>
        <w:tc>
          <w:tcPr>
            <w:tcW w:type="dxa" w:w="155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77/77 mockable entities seeded (100%)</w:t>
            </w:r>
          </w:p>
        </w:tc>
        <w:tc>
          <w:tcPr>
            <w:tcW w:type="dxa" w:w="155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via validation catalogue</w:t>
            </w:r>
          </w:p>
        </w:tc>
        <w:tc>
          <w:tcPr>
            <w:tcW w:type="dxa" w:w="155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41/83 with lifecycle model</w:t>
            </w:r>
          </w:p>
        </w:tc>
      </w:tr>
    </w:tbl>
    <w:p>
      <w:pPr>
        <w:spacing w:after="200"/>
      </w:pPr>
    </w:p>
    <w:p>
      <w:pPr>
        <w:spacing w:after="160" w:line="300"/>
      </w:pPr>
      <w:r>
        <w:rPr>
          <w:rFonts w:ascii="Tenorite" w:cs="Tenorite" w:eastAsia="Tenorite" w:hAnsi="Tenorite"/>
          <w:color w:val="000000"/>
          <w:sz w:val="21"/>
          <w:szCs w:val="21"/>
        </w:rPr>
        <w:t xml:space="preserve">Cross-cutting deliverables are similarly tracked: 775 total test scenarios covering 100% of the 308 requirements; 213/213 screens listed in the platform sitemap; 24 SMS templates plus 79 in-app error messages in the notification catalogue; 41/83 entities with an evidenced lifecycle in the screen-state model; and the persona matrix accounts for all 66 personas (30 mapped, 31 evidenced-unmapped, 5 zero-evidence). The one deliverable explicitly flagged as thin is the </w:t>
      </w:r>
      <w:r>
        <w:rPr>
          <w:rFonts w:ascii="Tenorite" w:cs="Tenorite" w:eastAsia="Tenorite" w:hAnsi="Tenorite"/>
          <w:b/>
          <w:bCs/>
          <w:color w:val="000000"/>
          <w:sz w:val="21"/>
          <w:szCs w:val="21"/>
        </w:rPr>
        <w:t xml:space="preserve">Feature Toggle Catalogue</w:t>
      </w:r>
      <w:r>
        <w:rPr>
          <w:rFonts w:ascii="Tenorite" w:cs="Tenorite" w:eastAsia="Tenorite" w:hAnsi="Tenorite"/>
          <w:color w:val="000000"/>
          <w:sz w:val="21"/>
          <w:szCs w:val="21"/>
        </w:rPr>
        <w:t xml:space="preserve"> (only 4 Current/Target-state pairs identified).</w:t>
      </w:r>
    </w:p>
    <w:p>
      <w:pPr>
        <w:pStyle w:val="Heading2"/>
        <w:spacing w:after="120" w:before="260"/>
      </w:pPr>
      <w:r>
        <w:t xml:space="preserve">4. Build Readiness by Module</w:t>
      </w:r>
    </w:p>
    <w:p>
      <w:pPr>
        <w:spacing w:after="160" w:line="300"/>
      </w:pPr>
      <w:r>
        <w:rPr>
          <w:rFonts w:ascii="Tenorite" w:cs="Tenorite" w:eastAsia="Tenorite" w:hAnsi="Tenorite"/>
          <w:color w:val="000000"/>
          <w:sz w:val="21"/>
          <w:szCs w:val="21"/>
        </w:rPr>
        <w:t xml:space="preserve">build-readiness.md</w:t>
      </w:r>
      <w:r>
        <w:rPr>
          <w:rFonts w:ascii="Tenorite" w:cs="Tenorite" w:eastAsia="Tenorite" w:hAnsi="Tenorite"/>
          <w:color w:val="000000"/>
          <w:sz w:val="21"/>
          <w:szCs w:val="21"/>
        </w:rPr>
        <w:t xml:space="preserve"> classifies all 16 modules using orphan-requirement rate, journeys lacking step detail, and underspecified-entity counts. Overall: </w:t>
      </w:r>
      <w:r>
        <w:rPr>
          <w:rFonts w:ascii="Tenorite" w:cs="Tenorite" w:eastAsia="Tenorite" w:hAnsi="Tenorite"/>
          <w:b/>
          <w:bCs/>
          <w:color w:val="000000"/>
          <w:sz w:val="21"/>
          <w:szCs w:val="21"/>
        </w:rPr>
        <w:t xml:space="preserve">Fully Defined: 2 · Partially Defined: 10 · High Risk: 2 · Missing: 2.</w:t>
      </w:r>
    </w:p>
    <w:tbl>
      <w:tblPr>
        <w:tblW w:type="dxa" w:w="9350"/>
        <w:tblBorders>
          <w:top w:val="single" w:color="BFBFBF" w:sz="4"/>
          <w:left w:val="single" w:color="BFBFBF" w:sz="4"/>
          <w:bottom w:val="single" w:color="BFBFBF" w:sz="4"/>
          <w:right w:val="single" w:color="BFBFBF" w:sz="4"/>
          <w:insideH w:val="single" w:color="D9D9D9" w:sz="4"/>
          <w:insideV w:val="single" w:color="D9D9D9" w:sz="4"/>
        </w:tblBorders>
      </w:tblPr>
      <w:tblGrid>
        <w:gridCol w:w="1168"/>
        <w:gridCol w:w="1168"/>
        <w:gridCol w:w="1168"/>
        <w:gridCol w:w="1168"/>
        <w:gridCol w:w="1168"/>
        <w:gridCol w:w="1168"/>
        <w:gridCol w:w="1168"/>
        <w:gridCol w:w="1168"/>
      </w:tblGrid>
      <w:tr>
        <w:trPr>
          <w:tblHeader/>
        </w:trPr>
        <w:tc>
          <w:tcPr>
            <w:tcW w:type="dxa" w:w="1168"/>
            <w:shd w:fill="E8E8E8" w:val="clear"/>
            <w:tcMar>
              <w:top w:type="dxa" w:w="60"/>
              <w:left w:type="dxa" w:w="100"/>
              <w:bottom w:type="dxa" w:w="60"/>
              <w:right w:type="dxa" w:w="100"/>
            </w:tcMar>
            <w:vAlign w:val="center"/>
          </w:tcPr>
          <w:p>
            <w:pPr>
              <w:spacing w:after="0"/>
            </w:pPr>
            <w:r>
              <w:rPr>
                <w:rFonts w:ascii="Tenorite" w:cs="Tenorite" w:eastAsia="Tenorite" w:hAnsi="Tenorite"/>
                <w:b/>
                <w:bCs/>
                <w:color w:val="7030A0"/>
                <w:sz w:val="18"/>
                <w:szCs w:val="18"/>
              </w:rPr>
              <w:t xml:space="preserve">Module</w:t>
            </w:r>
          </w:p>
        </w:tc>
        <w:tc>
          <w:tcPr>
            <w:tcW w:type="dxa" w:w="1168"/>
            <w:shd w:fill="E8E8E8" w:val="clear"/>
            <w:tcMar>
              <w:top w:type="dxa" w:w="60"/>
              <w:left w:type="dxa" w:w="100"/>
              <w:bottom w:type="dxa" w:w="60"/>
              <w:right w:type="dxa" w:w="100"/>
            </w:tcMar>
            <w:vAlign w:val="center"/>
          </w:tcPr>
          <w:p>
            <w:pPr>
              <w:spacing w:after="0"/>
            </w:pPr>
            <w:r>
              <w:rPr>
                <w:rFonts w:ascii="Tenorite" w:cs="Tenorite" w:eastAsia="Tenorite" w:hAnsi="Tenorite"/>
                <w:b/>
                <w:bCs/>
                <w:color w:val="7030A0"/>
                <w:sz w:val="18"/>
                <w:szCs w:val="18"/>
              </w:rPr>
              <w:t xml:space="preserve">Readiness</w:t>
            </w:r>
          </w:p>
        </w:tc>
        <w:tc>
          <w:tcPr>
            <w:tcW w:type="dxa" w:w="1168"/>
            <w:shd w:fill="E8E8E8" w:val="clear"/>
            <w:tcMar>
              <w:top w:type="dxa" w:w="60"/>
              <w:left w:type="dxa" w:w="100"/>
              <w:bottom w:type="dxa" w:w="60"/>
              <w:right w:type="dxa" w:w="100"/>
            </w:tcMar>
            <w:vAlign w:val="center"/>
          </w:tcPr>
          <w:p>
            <w:pPr>
              <w:spacing w:after="0"/>
            </w:pPr>
            <w:r>
              <w:rPr>
                <w:rFonts w:ascii="Tenorite" w:cs="Tenorite" w:eastAsia="Tenorite" w:hAnsi="Tenorite"/>
                <w:b/>
                <w:bCs/>
                <w:color w:val="7030A0"/>
                <w:sz w:val="18"/>
                <w:szCs w:val="18"/>
              </w:rPr>
              <w:t xml:space="preserve">Requirements</w:t>
            </w:r>
          </w:p>
        </w:tc>
        <w:tc>
          <w:tcPr>
            <w:tcW w:type="dxa" w:w="1168"/>
            <w:shd w:fill="E8E8E8" w:val="clear"/>
            <w:tcMar>
              <w:top w:type="dxa" w:w="60"/>
              <w:left w:type="dxa" w:w="100"/>
              <w:bottom w:type="dxa" w:w="60"/>
              <w:right w:type="dxa" w:w="100"/>
            </w:tcMar>
            <w:vAlign w:val="center"/>
          </w:tcPr>
          <w:p>
            <w:pPr>
              <w:spacing w:after="0"/>
            </w:pPr>
            <w:r>
              <w:rPr>
                <w:rFonts w:ascii="Tenorite" w:cs="Tenorite" w:eastAsia="Tenorite" w:hAnsi="Tenorite"/>
                <w:b/>
                <w:bCs/>
                <w:color w:val="7030A0"/>
                <w:sz w:val="18"/>
                <w:szCs w:val="18"/>
              </w:rPr>
              <w:t xml:space="preserve">Journeys</w:t>
            </w:r>
          </w:p>
        </w:tc>
        <w:tc>
          <w:tcPr>
            <w:tcW w:type="dxa" w:w="1168"/>
            <w:shd w:fill="E8E8E8" w:val="clear"/>
            <w:tcMar>
              <w:top w:type="dxa" w:w="60"/>
              <w:left w:type="dxa" w:w="100"/>
              <w:bottom w:type="dxa" w:w="60"/>
              <w:right w:type="dxa" w:w="100"/>
            </w:tcMar>
            <w:vAlign w:val="center"/>
          </w:tcPr>
          <w:p>
            <w:pPr>
              <w:spacing w:after="0"/>
            </w:pPr>
            <w:r>
              <w:rPr>
                <w:rFonts w:ascii="Tenorite" w:cs="Tenorite" w:eastAsia="Tenorite" w:hAnsi="Tenorite"/>
                <w:b/>
                <w:bCs/>
                <w:color w:val="7030A0"/>
                <w:sz w:val="18"/>
                <w:szCs w:val="18"/>
              </w:rPr>
              <w:t xml:space="preserve">Entities</w:t>
            </w:r>
          </w:p>
        </w:tc>
        <w:tc>
          <w:tcPr>
            <w:tcW w:type="dxa" w:w="1168"/>
            <w:shd w:fill="E8E8E8" w:val="clear"/>
            <w:tcMar>
              <w:top w:type="dxa" w:w="60"/>
              <w:left w:type="dxa" w:w="100"/>
              <w:bottom w:type="dxa" w:w="60"/>
              <w:right w:type="dxa" w:w="100"/>
            </w:tcMar>
            <w:vAlign w:val="center"/>
          </w:tcPr>
          <w:p>
            <w:pPr>
              <w:spacing w:after="0"/>
            </w:pPr>
            <w:r>
              <w:rPr>
                <w:rFonts w:ascii="Tenorite" w:cs="Tenorite" w:eastAsia="Tenorite" w:hAnsi="Tenorite"/>
                <w:b/>
                <w:bCs/>
                <w:color w:val="7030A0"/>
                <w:sz w:val="18"/>
                <w:szCs w:val="18"/>
              </w:rPr>
              <w:t xml:space="preserve">Orphan reqs</w:t>
            </w:r>
          </w:p>
        </w:tc>
        <w:tc>
          <w:tcPr>
            <w:tcW w:type="dxa" w:w="1168"/>
            <w:shd w:fill="E8E8E8" w:val="clear"/>
            <w:tcMar>
              <w:top w:type="dxa" w:w="60"/>
              <w:left w:type="dxa" w:w="100"/>
              <w:bottom w:type="dxa" w:w="60"/>
              <w:right w:type="dxa" w:w="100"/>
            </w:tcMar>
            <w:vAlign w:val="center"/>
          </w:tcPr>
          <w:p>
            <w:pPr>
              <w:spacing w:after="0"/>
            </w:pPr>
            <w:r>
              <w:rPr>
                <w:rFonts w:ascii="Tenorite" w:cs="Tenorite" w:eastAsia="Tenorite" w:hAnsi="Tenorite"/>
                <w:b/>
                <w:bCs/>
                <w:color w:val="7030A0"/>
                <w:sz w:val="18"/>
                <w:szCs w:val="18"/>
              </w:rPr>
              <w:t xml:space="preserve">Journeys w/o steps</w:t>
            </w:r>
          </w:p>
        </w:tc>
        <w:tc>
          <w:tcPr>
            <w:tcW w:type="dxa" w:w="1168"/>
            <w:shd w:fill="E8E8E8" w:val="clear"/>
            <w:tcMar>
              <w:top w:type="dxa" w:w="60"/>
              <w:left w:type="dxa" w:w="100"/>
              <w:bottom w:type="dxa" w:w="60"/>
              <w:right w:type="dxa" w:w="100"/>
            </w:tcMar>
            <w:vAlign w:val="center"/>
          </w:tcPr>
          <w:p>
            <w:pPr>
              <w:spacing w:after="0"/>
            </w:pPr>
            <w:r>
              <w:rPr>
                <w:rFonts w:ascii="Tenorite" w:cs="Tenorite" w:eastAsia="Tenorite" w:hAnsi="Tenorite"/>
                <w:b/>
                <w:bCs/>
                <w:color w:val="7030A0"/>
                <w:sz w:val="18"/>
                <w:szCs w:val="18"/>
              </w:rPr>
              <w:t xml:space="preserve">Underspecified entities</w:t>
            </w:r>
          </w:p>
        </w:tc>
      </w:tr>
      <w:tr>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Lead Management</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Fully Defined</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14</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7</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4</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0</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0</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0</w:t>
            </w:r>
          </w:p>
        </w:tc>
      </w:tr>
      <w:tr>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Mobile Prepaid</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Fully Defined</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3</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2</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2</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0</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0</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0</w:t>
            </w:r>
          </w:p>
        </w:tc>
      </w:tr>
      <w:tr>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Mobile Postpaid</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Partially Defined</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23</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17</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8</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0</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0</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3</w:t>
            </w:r>
          </w:p>
        </w:tc>
      </w:tr>
      <w:tr>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Pre-to-Post Migration</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Partially Defined</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8</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6</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3</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2</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0</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0</w:t>
            </w:r>
          </w:p>
        </w:tc>
      </w:tr>
      <w:tr>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MNP / FNP Porting</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Partially Defined</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19</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13</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8</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0</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5</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1</w:t>
            </w:r>
          </w:p>
        </w:tc>
      </w:tr>
      <w:tr>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Fixed Line / Fibre</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Partially Defined</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55</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28</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14</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4</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5</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6</w:t>
            </w:r>
          </w:p>
        </w:tc>
      </w:tr>
      <w:tr>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FWA / 5G Home</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Partially Defined</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26</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14</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12</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15</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2</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3</w:t>
            </w:r>
          </w:p>
        </w:tc>
      </w:tr>
      <w:tr>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Enterprise / IoT / B2B</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Partially Defined</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26</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10</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13</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6</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2</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2</w:t>
            </w:r>
          </w:p>
        </w:tc>
      </w:tr>
      <w:tr>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Order Management</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Partially Defined</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24</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2</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6</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6</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1</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2</w:t>
            </w:r>
          </w:p>
        </w:tc>
      </w:tr>
      <w:tr>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Identity &amp; Customer Management</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Partially Defined</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18</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2</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6</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10</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0</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1</w:t>
            </w:r>
          </w:p>
        </w:tc>
      </w:tr>
      <w:tr>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SIM &amp; Number Management</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Partially Defined</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14</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8</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6</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6</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0</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2</w:t>
            </w:r>
          </w:p>
        </w:tc>
      </w:tr>
      <w:tr>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Trouble Ticketing &amp; Complaints</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Partially Defined</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17</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5</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5</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2</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1</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1</w:t>
            </w:r>
          </w:p>
        </w:tc>
      </w:tr>
      <w:tr>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Access, Roles &amp; Approval Governance</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High Risk</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8</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0</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2</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8</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0</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1</w:t>
            </w:r>
          </w:p>
        </w:tc>
      </w:tr>
      <w:tr>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Platform Governance &amp; Architecture</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High Risk</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22</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0</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4</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20</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0</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3</w:t>
            </w:r>
          </w:p>
        </w:tc>
      </w:tr>
      <w:tr>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Billing &amp; Adjustments</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Missing</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19</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0</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9</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16</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0</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2</w:t>
            </w:r>
          </w:p>
        </w:tc>
      </w:tr>
      <w:tr>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CAF, Attachments &amp; Forms</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Missing</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14</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0</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2</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14</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0</w:t>
            </w:r>
          </w:p>
        </w:tc>
        <w:tc>
          <w:tcPr>
            <w:tcW w:type="dxa" w:w="1168"/>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0</w:t>
            </w:r>
          </w:p>
        </w:tc>
      </w:tr>
    </w:tbl>
    <w:p>
      <w:pPr>
        <w:spacing w:after="200"/>
      </w:pPr>
    </w:p>
    <w:p>
      <w:pPr>
        <w:spacing w:after="160" w:line="300"/>
      </w:pPr>
      <w:r>
        <w:rPr>
          <w:rFonts w:ascii="Tenorite" w:cs="Tenorite" w:eastAsia="Tenorite" w:hAnsi="Tenorite"/>
          <w:i/>
          <w:iCs/>
          <w:color w:val="000000"/>
          <w:sz w:val="21"/>
          <w:szCs w:val="21"/>
        </w:rPr>
        <w:t xml:space="preserve">Note: these per-module counts predate the Stage K gap-resolution pass and have not been recalculated since — they should be read as an upper bound on remaining per-module risk, not the current exact count (see the blueprint README's "Known limitations").</w:t>
      </w:r>
    </w:p>
    <w:p>
      <w:pPr>
        <w:spacing w:after="160" w:line="300"/>
      </w:pPr>
      <w:r>
        <w:rPr>
          <w:rFonts w:ascii="Tenorite" w:cs="Tenorite" w:eastAsia="Tenorite" w:hAnsi="Tenorite"/>
          <w:color w:val="000000"/>
          <w:sz w:val="21"/>
          <w:szCs w:val="21"/>
        </w:rPr>
        <w:t xml:space="preserve">The two </w:t>
      </w:r>
      <w:r>
        <w:rPr>
          <w:rFonts w:ascii="Tenorite" w:cs="Tenorite" w:eastAsia="Tenorite" w:hAnsi="Tenorite"/>
          <w:b/>
          <w:bCs/>
          <w:color w:val="000000"/>
          <w:sz w:val="21"/>
          <w:szCs w:val="21"/>
        </w:rPr>
        <w:t xml:space="preserve">Missing</w:t>
      </w:r>
      <w:r>
        <w:rPr>
          <w:rFonts w:ascii="Tenorite" w:cs="Tenorite" w:eastAsia="Tenorite" w:hAnsi="Tenorite"/>
          <w:color w:val="000000"/>
          <w:sz w:val="21"/>
          <w:szCs w:val="21"/>
        </w:rPr>
        <w:t xml:space="preserve"> and two </w:t>
      </w:r>
      <w:r>
        <w:rPr>
          <w:rFonts w:ascii="Tenorite" w:cs="Tenorite" w:eastAsia="Tenorite" w:hAnsi="Tenorite"/>
          <w:b/>
          <w:bCs/>
          <w:color w:val="000000"/>
          <w:sz w:val="21"/>
          <w:szCs w:val="21"/>
        </w:rPr>
        <w:t xml:space="preserve">High Risk</w:t>
      </w:r>
      <w:r>
        <w:rPr>
          <w:rFonts w:ascii="Tenorite" w:cs="Tenorite" w:eastAsia="Tenorite" w:hAnsi="Tenorite"/>
          <w:color w:val="000000"/>
          <w:sz w:val="21"/>
          <w:szCs w:val="21"/>
        </w:rPr>
        <w:t xml:space="preserve"> modules share a pattern: zero linked journeys, so there is no step-by-step walkthrough anywhere in the corpus to build screens from — they exist only as requirement- and rule-level discussion. Access/Roles/Approval Governance has all 8 requirements orphaned (100%); Platform Governance &amp; Architecture has 20 of 22 (91%) orphaned. These are the modules where a builder would have to invent the most — role/permission matrices, approval state machines, governance policy — rather than derive it from evidence.</w:t>
      </w:r>
    </w:p>
    <w:p>
      <w:pPr>
        <w:pStyle w:val="Heading2"/>
        <w:spacing w:after="120" w:before="260"/>
      </w:pPr>
      <w:r>
        <w:t xml:space="preserve">5. Assumptions Made During Analysis</w:t>
      </w:r>
    </w:p>
    <w:p>
      <w:pPr>
        <w:spacing w:after="160" w:line="300"/>
      </w:pPr>
      <w:r>
        <w:rPr>
          <w:rFonts w:ascii="Tenorite" w:cs="Tenorite" w:eastAsia="Tenorite" w:hAnsi="Tenorite"/>
          <w:color w:val="000000"/>
          <w:sz w:val="21"/>
          <w:szCs w:val="21"/>
        </w:rPr>
        <w:t xml:space="preserve">Every "Recommended Assumption" in </w:t>
      </w:r>
      <w:r>
        <w:rPr>
          <w:rFonts w:ascii="Tenorite" w:cs="Tenorite" w:eastAsia="Tenorite" w:hAnsi="Tenorite"/>
          <w:color w:val="000000"/>
          <w:sz w:val="21"/>
          <w:szCs w:val="21"/>
        </w:rPr>
        <w:t xml:space="preserve">gap-resolution-stage-k.md</w:t>
      </w:r>
      <w:r>
        <w:rPr>
          <w:rFonts w:ascii="Tenorite" w:cs="Tenorite" w:eastAsia="Tenorite" w:hAnsi="Tenorite"/>
          <w:color w:val="000000"/>
          <w:sz w:val="21"/>
          <w:szCs w:val="21"/>
        </w:rPr>
        <w:t xml:space="preserve"> is explicitly labeled as such — never merged into a catalogue as if it were sourced fact. Where a plausible analogy exists elsewhere in the </w:t>
      </w:r>
      <w:r>
        <w:rPr>
          <w:rFonts w:ascii="Tenorite" w:cs="Tenorite" w:eastAsia="Tenorite" w:hAnsi="Tenorite"/>
          <w:i/>
          <w:iCs/>
          <w:color w:val="000000"/>
          <w:sz w:val="21"/>
          <w:szCs w:val="21"/>
        </w:rPr>
        <w:t xml:space="preserve">same</w:t>
      </w:r>
      <w:r>
        <w:rPr>
          <w:rFonts w:ascii="Tenorite" w:cs="Tenorite" w:eastAsia="Tenorite" w:hAnsi="Tenorite"/>
          <w:color w:val="000000"/>
          <w:sz w:val="21"/>
          <w:szCs w:val="21"/>
        </w:rPr>
        <w:t xml:space="preserve"> corpus, it is proposed and flagged as inference; where none exists, the item is left as an open question rather than guessed. Representative examples:</w:t>
      </w:r>
    </w:p>
    <w:p>
      <w:pPr>
        <w:pStyle w:val="ListParagraph"/>
        <w:numPr>
          <w:ilvl w:val="0"/>
          <w:numId w:val="1"/>
        </w:numPr>
        <w:spacing w:after="80"/>
      </w:pPr>
      <w:r>
        <w:rPr>
          <w:rFonts w:ascii="Tenorite" w:cs="Tenorite" w:eastAsia="Tenorite" w:hAnsi="Tenorite"/>
          <w:b/>
          <w:bCs/>
          <w:color w:val="000000"/>
          <w:sz w:val="21"/>
          <w:szCs w:val="21"/>
        </w:rPr>
        <w:t xml:space="preserve">Sibling-screen pattern-matching.</w:t>
      </w:r>
      <w:r>
        <w:rPr>
          <w:rFonts w:ascii="Tenorite" w:cs="Tenorite" w:eastAsia="Tenorite" w:hAnsi="Tenorite"/>
          <w:color w:val="000000"/>
          <w:sz w:val="21"/>
          <w:szCs w:val="21"/>
        </w:rPr>
        <w:t xml:space="preserve"> SCR-142 (My Leads list) has no column list of its own, but two sibling grids in the same document are fully evidenced — assumption: all three share the identical schema.</w:t>
      </w:r>
    </w:p>
    <w:p>
      <w:pPr>
        <w:pStyle w:val="ListParagraph"/>
        <w:numPr>
          <w:ilvl w:val="0"/>
          <w:numId w:val="1"/>
        </w:numPr>
        <w:spacing w:after="80"/>
      </w:pPr>
      <w:r>
        <w:rPr>
          <w:rFonts w:ascii="Tenorite" w:cs="Tenorite" w:eastAsia="Tenorite" w:hAnsi="Tenorite"/>
          <w:b/>
          <w:bCs/>
          <w:color w:val="000000"/>
          <w:sz w:val="21"/>
          <w:szCs w:val="21"/>
        </w:rPr>
        <w:t xml:space="preserve">Cross-document analogy.</w:t>
      </w:r>
      <w:r>
        <w:rPr>
          <w:rFonts w:ascii="Tenorite" w:cs="Tenorite" w:eastAsia="Tenorite" w:hAnsi="Tenorite"/>
          <w:color w:val="000000"/>
          <w:sz w:val="21"/>
          <w:szCs w:val="21"/>
        </w:rPr>
        <w:t xml:space="preserve"> REQ-085 (auto-select numbers for fixed/prepaid) has no screen ID beyond "Number Selection," so the assumption borrows the concrete Number Selection UI evidenced in a sibling FWA guided-journey document.</w:t>
      </w:r>
    </w:p>
    <w:p>
      <w:pPr>
        <w:pStyle w:val="ListParagraph"/>
        <w:numPr>
          <w:ilvl w:val="0"/>
          <w:numId w:val="1"/>
        </w:numPr>
        <w:spacing w:after="80"/>
      </w:pPr>
      <w:r>
        <w:rPr>
          <w:rFonts w:ascii="Tenorite" w:cs="Tenorite" w:eastAsia="Tenorite" w:hAnsi="Tenorite"/>
          <w:b/>
          <w:bCs/>
          <w:color w:val="000000"/>
          <w:sz w:val="21"/>
          <w:szCs w:val="21"/>
        </w:rPr>
        <w:t xml:space="preserve">Static lookup instead of an invented lifecycle.</w:t>
      </w:r>
      <w:r>
        <w:rPr>
          <w:rFonts w:ascii="Tenorite" w:cs="Tenorite" w:eastAsia="Tenorite" w:hAnsi="Tenorite"/>
          <w:color w:val="000000"/>
          <w:sz w:val="21"/>
          <w:szCs w:val="21"/>
        </w:rPr>
        <w:t xml:space="preserve"> ENT-042 (Reject Reason) is only partially visible in a scrollable dropdown; rather than inventing the full code list, it's treated as a static lookup, generalizing only the one observed reason→re-collected-field relationship.</w:t>
      </w:r>
    </w:p>
    <w:p>
      <w:pPr>
        <w:pStyle w:val="ListParagraph"/>
        <w:numPr>
          <w:ilvl w:val="0"/>
          <w:numId w:val="1"/>
        </w:numPr>
        <w:spacing w:after="80"/>
      </w:pPr>
      <w:r>
        <w:rPr>
          <w:rFonts w:ascii="Tenorite" w:cs="Tenorite" w:eastAsia="Tenorite" w:hAnsi="Tenorite"/>
          <w:b/>
          <w:bCs/>
          <w:color w:val="000000"/>
          <w:sz w:val="21"/>
          <w:szCs w:val="21"/>
        </w:rPr>
        <w:t xml:space="preserve">Deferring to an open Dependency instead of guessing a number.</w:t>
      </w:r>
      <w:r>
        <w:rPr>
          <w:rFonts w:ascii="Tenorite" w:cs="Tenorite" w:eastAsia="Tenorite" w:hAnsi="Tenorite"/>
          <w:color w:val="000000"/>
          <w:sz w:val="21"/>
          <w:szCs w:val="21"/>
        </w:rPr>
        <w:t xml:space="preserve"> REQ-272/273/277 (Star Number pricing, CAF template, and HRN advance-payment matrices) trace to BRSD Dependencies VFQ hasn't supplied (D-02/D-03/D-08); the assumption uses one evidenced real-world data point as a placeholder (e.g. QR 100 HRN advance payment seen in one guided journey), explicitly flagged as unconfirmed.</w:t>
      </w:r>
    </w:p>
    <w:p>
      <w:pPr>
        <w:pStyle w:val="ListParagraph"/>
        <w:numPr>
          <w:ilvl w:val="0"/>
          <w:numId w:val="1"/>
        </w:numPr>
        <w:spacing w:after="80"/>
      </w:pPr>
      <w:r>
        <w:rPr>
          <w:rFonts w:ascii="Tenorite" w:cs="Tenorite" w:eastAsia="Tenorite" w:hAnsi="Tenorite"/>
          <w:b/>
          <w:bCs/>
          <w:color w:val="000000"/>
          <w:sz w:val="21"/>
          <w:szCs w:val="21"/>
        </w:rPr>
        <w:t xml:space="preserve">Declining to assume at all.</w:t>
      </w:r>
      <w:r>
        <w:rPr>
          <w:rFonts w:ascii="Tenorite" w:cs="Tenorite" w:eastAsia="Tenorite" w:hAnsi="Tenorite"/>
          <w:color w:val="000000"/>
          <w:sz w:val="21"/>
          <w:szCs w:val="21"/>
        </w:rPr>
        <w:t xml:space="preserve"> UJ-006 and REQ-058 had no comparable evidenced pattern anywhere in the corpus; both are flagged as needing a business-owner walkthrough rather than a fabricated sequence.</w:t>
      </w:r>
    </w:p>
    <w:p>
      <w:pPr>
        <w:pStyle w:val="Heading2"/>
        <w:spacing w:after="120" w:before="260"/>
      </w:pPr>
      <w:r>
        <w:t xml:space="preserve">6. Recommendations for Clarification</w:t>
      </w:r>
    </w:p>
    <w:p>
      <w:pPr>
        <w:spacing w:after="160" w:line="300"/>
      </w:pPr>
      <w:r>
        <w:rPr>
          <w:rFonts w:ascii="Tenorite" w:cs="Tenorite" w:eastAsia="Tenorite" w:hAnsi="Tenorite"/>
          <w:color w:val="000000"/>
          <w:sz w:val="21"/>
          <w:szCs w:val="21"/>
        </w:rPr>
        <w:t xml:space="preserve">Before this blueprint is treated as final, validate the following directly with Vodafone Qatar stakeholders, roughly in priority order:</w:t>
      </w:r>
    </w:p>
    <w:p>
      <w:pPr>
        <w:pStyle w:val="ListParagraph"/>
        <w:numPr>
          <w:ilvl w:val="0"/>
          <w:numId w:val="2"/>
        </w:numPr>
        <w:spacing w:after="80"/>
      </w:pPr>
      <w:r>
        <w:rPr>
          <w:rFonts w:ascii="Tenorite" w:cs="Tenorite" w:eastAsia="Tenorite" w:hAnsi="Tenorite"/>
          <w:b/>
          <w:bCs/>
          <w:color w:val="000000"/>
          <w:sz w:val="21"/>
          <w:szCs w:val="21"/>
        </w:rPr>
        <w:t xml:space="preserve">Resolve the two High-severity conflicts first</w:t>
      </w:r>
      <w:r>
        <w:rPr>
          <w:rFonts w:ascii="Tenorite" w:cs="Tenorite" w:eastAsia="Tenorite" w:hAnsi="Tenorite"/>
          <w:color w:val="000000"/>
          <w:sz w:val="21"/>
          <w:szCs w:val="21"/>
        </w:rPr>
        <w:t xml:space="preserve"> — the fibre outstanding-dues threshold and the Suspension/Resume channel model — both with Collections/Credit Control.</w:t>
      </w:r>
    </w:p>
    <w:p>
      <w:pPr>
        <w:pStyle w:val="ListParagraph"/>
        <w:numPr>
          <w:ilvl w:val="0"/>
          <w:numId w:val="2"/>
        </w:numPr>
        <w:spacing w:after="80"/>
      </w:pPr>
      <w:r>
        <w:rPr>
          <w:rFonts w:ascii="Tenorite" w:cs="Tenorite" w:eastAsia="Tenorite" w:hAnsi="Tenorite"/>
          <w:b/>
          <w:bCs/>
          <w:color w:val="000000"/>
          <w:sz w:val="21"/>
          <w:szCs w:val="21"/>
        </w:rPr>
        <w:t xml:space="preserve">Get the missing pricing/template matrices</w:t>
      </w:r>
      <w:r>
        <w:rPr>
          <w:rFonts w:ascii="Tenorite" w:cs="Tenorite" w:eastAsia="Tenorite" w:hAnsi="Tenorite"/>
          <w:color w:val="000000"/>
          <w:sz w:val="21"/>
          <w:szCs w:val="21"/>
        </w:rPr>
        <w:t xml:space="preserve"> from Product/Collections: Star Number pricing (D-02), CAF template-by-role/channel (D-03), HRN advance-payment (D-08) — acknowledged-open BRSD Dependencies, not analysis gaps.</w:t>
      </w:r>
    </w:p>
    <w:p>
      <w:pPr>
        <w:pStyle w:val="ListParagraph"/>
        <w:numPr>
          <w:ilvl w:val="0"/>
          <w:numId w:val="2"/>
        </w:numPr>
        <w:spacing w:after="80"/>
      </w:pPr>
      <w:r>
        <w:rPr>
          <w:rFonts w:ascii="Tenorite" w:cs="Tenorite" w:eastAsia="Tenorite" w:hAnsi="Tenorite"/>
          <w:b/>
          <w:bCs/>
          <w:color w:val="000000"/>
          <w:sz w:val="21"/>
          <w:szCs w:val="21"/>
        </w:rPr>
        <w:t xml:space="preserve">Confirm scope for the 4 zero-journey modules</w:t>
      </w:r>
      <w:r>
        <w:rPr>
          <w:rFonts w:ascii="Tenorite" w:cs="Tenorite" w:eastAsia="Tenorite" w:hAnsi="Tenorite"/>
          <w:color w:val="000000"/>
          <w:sz w:val="21"/>
          <w:szCs w:val="21"/>
        </w:rPr>
        <w:t xml:space="preserve"> (Billing &amp; Adjustments, CAF/Attachments &amp; Forms, Access/Roles/Approval Governance, Platform Governance &amp; Architecture) — genuine documentation gap, or backend/config-only concerns with no user-facing screens?</w:t>
      </w:r>
    </w:p>
    <w:p>
      <w:pPr>
        <w:pStyle w:val="ListParagraph"/>
        <w:numPr>
          <w:ilvl w:val="0"/>
          <w:numId w:val="2"/>
        </w:numPr>
        <w:spacing w:after="80"/>
      </w:pPr>
      <w:r>
        <w:rPr>
          <w:rFonts w:ascii="Tenorite" w:cs="Tenorite" w:eastAsia="Tenorite" w:hAnsi="Tenorite"/>
          <w:b/>
          <w:bCs/>
          <w:color w:val="000000"/>
          <w:sz w:val="21"/>
          <w:szCs w:val="21"/>
        </w:rPr>
        <w:t xml:space="preserve">Confirm whether WF-015 "Retention / Happy Offers"</w:t>
      </w:r>
      <w:r>
        <w:rPr>
          <w:rFonts w:ascii="Tenorite" w:cs="Tenorite" w:eastAsia="Tenorite" w:hAnsi="Tenorite"/>
          <w:color w:val="000000"/>
          <w:sz w:val="21"/>
          <w:szCs w:val="21"/>
        </w:rPr>
        <w:t xml:space="preserve"> is in scope — named in the legacy workbook's workflow taxonomy but with zero evidence anywhere in this blueprint.</w:t>
      </w:r>
    </w:p>
    <w:p>
      <w:pPr>
        <w:pStyle w:val="ListParagraph"/>
        <w:numPr>
          <w:ilvl w:val="0"/>
          <w:numId w:val="2"/>
        </w:numPr>
        <w:spacing w:after="80"/>
      </w:pPr>
      <w:r>
        <w:rPr>
          <w:rFonts w:ascii="Tenorite" w:cs="Tenorite" w:eastAsia="Tenorite" w:hAnsi="Tenorite"/>
          <w:b/>
          <w:bCs/>
          <w:color w:val="000000"/>
          <w:sz w:val="21"/>
          <w:szCs w:val="21"/>
        </w:rPr>
        <w:t xml:space="preserve">Reconcile the ZSB-mandatory-for-mobile rule</w:t>
      </w:r>
      <w:r>
        <w:rPr>
          <w:rFonts w:ascii="Tenorite" w:cs="Tenorite" w:eastAsia="Tenorite" w:hAnsi="Tenorite"/>
          <w:color w:val="000000"/>
          <w:sz w:val="21"/>
          <w:szCs w:val="21"/>
        </w:rPr>
        <w:t xml:space="preserve"> with COPS &amp; Digital / Customer Data Management.</w:t>
      </w:r>
    </w:p>
    <w:p>
      <w:pPr>
        <w:pStyle w:val="ListParagraph"/>
        <w:numPr>
          <w:ilvl w:val="0"/>
          <w:numId w:val="2"/>
        </w:numPr>
        <w:spacing w:after="80"/>
      </w:pPr>
      <w:r>
        <w:rPr>
          <w:rFonts w:ascii="Tenorite" w:cs="Tenorite" w:eastAsia="Tenorite" w:hAnsi="Tenorite"/>
          <w:b/>
          <w:bCs/>
          <w:color w:val="000000"/>
          <w:sz w:val="21"/>
          <w:szCs w:val="21"/>
        </w:rPr>
        <w:t xml:space="preserve">Source the 5 screens and 1 journey with no recoverable detail</w:t>
      </w:r>
      <w:r>
        <w:rPr>
          <w:rFonts w:ascii="Tenorite" w:cs="Tenorite" w:eastAsia="Tenorite" w:hAnsi="Tenorite"/>
          <w:color w:val="000000"/>
          <w:sz w:val="21"/>
          <w:szCs w:val="21"/>
        </w:rPr>
        <w:t xml:space="preserve"> via real screenshots or a walkthrough (SCR-008, SCR-026, SCR-142, SCR-159, SCR-207, UJ-006).</w:t>
      </w:r>
    </w:p>
    <w:p>
      <w:pPr>
        <w:pStyle w:val="ListParagraph"/>
        <w:numPr>
          <w:ilvl w:val="0"/>
          <w:numId w:val="2"/>
        </w:numPr>
        <w:spacing w:after="80"/>
      </w:pPr>
      <w:r>
        <w:rPr>
          <w:rFonts w:ascii="Tenorite" w:cs="Tenorite" w:eastAsia="Tenorite" w:hAnsi="Tenorite"/>
          <w:b/>
          <w:bCs/>
          <w:color w:val="000000"/>
          <w:sz w:val="21"/>
          <w:szCs w:val="21"/>
        </w:rPr>
        <w:t xml:space="preserve">Request the two damaged/truncated recordings</w:t>
      </w:r>
      <w:r>
        <w:rPr>
          <w:rFonts w:ascii="Tenorite" w:cs="Tenorite" w:eastAsia="Tenorite" w:hAnsi="Tenorite"/>
          <w:color w:val="000000"/>
          <w:sz w:val="21"/>
          <w:szCs w:val="21"/>
        </w:rPr>
        <w:t xml:space="preserve"> (Day 11 Session 2; Day 5 Session 1) in full, or facilitator notes.</w:t>
      </w:r>
    </w:p>
    <w:p>
      <w:pPr>
        <w:pStyle w:val="ListParagraph"/>
        <w:numPr>
          <w:ilvl w:val="0"/>
          <w:numId w:val="2"/>
        </w:numPr>
        <w:spacing w:after="80"/>
      </w:pPr>
      <w:r>
        <w:rPr>
          <w:rFonts w:ascii="Tenorite" w:cs="Tenorite" w:eastAsia="Tenorite" w:hAnsi="Tenorite"/>
          <w:b/>
          <w:bCs/>
          <w:color w:val="000000"/>
          <w:sz w:val="21"/>
          <w:szCs w:val="21"/>
        </w:rPr>
        <w:t xml:space="preserve">Clarify RBAC</w:t>
      </w:r>
      <w:r>
        <w:rPr>
          <w:rFonts w:ascii="Tenorite" w:cs="Tenorite" w:eastAsia="Tenorite" w:hAnsi="Tenorite"/>
          <w:color w:val="000000"/>
          <w:sz w:val="21"/>
          <w:szCs w:val="21"/>
        </w:rPr>
        <w:t xml:space="preserve"> for the 5 zero-entry personas (EBU PM, DSA/Store/Field Engineer, role-family agent groups, Sales/Fulfilment VFID-KID team, Field Survey Team).</w:t>
      </w:r>
    </w:p>
    <w:p>
      <w:pPr>
        <w:pStyle w:val="ListParagraph"/>
        <w:numPr>
          <w:ilvl w:val="0"/>
          <w:numId w:val="2"/>
        </w:numPr>
        <w:spacing w:after="80"/>
      </w:pPr>
      <w:r>
        <w:rPr>
          <w:rFonts w:ascii="Tenorite" w:cs="Tenorite" w:eastAsia="Tenorite" w:hAnsi="Tenorite"/>
          <w:b/>
          <w:bCs/>
          <w:color w:val="000000"/>
          <w:sz w:val="21"/>
          <w:szCs w:val="21"/>
        </w:rPr>
        <w:t xml:space="preserve">Confirm the PCA001 Form-ID collision</w:t>
      </w:r>
      <w:r>
        <w:rPr>
          <w:rFonts w:ascii="Tenorite" w:cs="Tenorite" w:eastAsia="Tenorite" w:hAnsi="Tenorite"/>
          <w:color w:val="000000"/>
          <w:sz w:val="21"/>
          <w:szCs w:val="21"/>
        </w:rPr>
        <w:t xml:space="preserve"> is a numbering error before any system treats it as a unique identifier.</w:t>
      </w:r>
    </w:p>
    <w:p>
      <w:r>
        <w:br w:type="page"/>
      </w:r>
    </w:p>
    <w:p>
      <w:pPr>
        <w:pStyle w:val="Heading1"/>
        <w:spacing w:after="160" w:before="320"/>
      </w:pPr>
      <w:r>
        <w:t xml:space="preserve">Technical Implementation Overview</w:t>
      </w:r>
    </w:p>
    <w:p>
      <w:pPr>
        <w:pStyle w:val="Heading2"/>
        <w:spacing w:after="120" w:before="260"/>
      </w:pPr>
      <w:r>
        <w:t xml:space="preserve">Tech stack</w:t>
      </w:r>
    </w:p>
    <w:p>
      <w:pPr>
        <w:spacing w:after="160" w:line="300"/>
      </w:pPr>
      <w:r>
        <w:rPr>
          <w:rFonts w:ascii="Tenorite" w:cs="Tenorite" w:eastAsia="Tenorite" w:hAnsi="Tenorite"/>
          <w:color w:val="000000"/>
          <w:sz w:val="21"/>
          <w:szCs w:val="21"/>
        </w:rPr>
        <w:t xml:space="preserve">vfq-dxp-app</w:t>
      </w:r>
      <w:r>
        <w:rPr>
          <w:rFonts w:ascii="Tenorite" w:cs="Tenorite" w:eastAsia="Tenorite" w:hAnsi="Tenorite"/>
          <w:color w:val="000000"/>
          <w:sz w:val="21"/>
          <w:szCs w:val="21"/>
        </w:rPr>
        <w:t xml:space="preserve"> is a front-end-only single-page application, built to a hard constraint (no backend, no APIs, no databases, no third-party integrations): every workflow, calculation, validation, and permission is simulated entirely in the browser. Per </w:t>
      </w:r>
      <w:r>
        <w:rPr>
          <w:rFonts w:ascii="Tenorite" w:cs="Tenorite" w:eastAsia="Tenorite" w:hAnsi="Tenorite"/>
          <w:color w:val="000000"/>
          <w:sz w:val="21"/>
          <w:szCs w:val="21"/>
        </w:rPr>
        <w:t xml:space="preserve">package.json</w:t>
      </w:r>
      <w:r>
        <w:rPr>
          <w:rFonts w:ascii="Tenorite" w:cs="Tenorite" w:eastAsia="Tenorite" w:hAnsi="Tenorite"/>
          <w:color w:val="000000"/>
          <w:sz w:val="21"/>
          <w:szCs w:val="21"/>
        </w:rPr>
        <w:t xml:space="preserve">, the actual (not aspirational) stack is:</w:t>
      </w:r>
    </w:p>
    <w:p>
      <w:pPr>
        <w:pStyle w:val="ListParagraph"/>
        <w:numPr>
          <w:ilvl w:val="0"/>
          <w:numId w:val="1"/>
        </w:numPr>
        <w:spacing w:after="80"/>
      </w:pPr>
      <w:r>
        <w:rPr>
          <w:rFonts w:ascii="Tenorite" w:cs="Tenorite" w:eastAsia="Tenorite" w:hAnsi="Tenorite"/>
          <w:b/>
          <w:bCs/>
          <w:color w:val="000000"/>
          <w:sz w:val="21"/>
          <w:szCs w:val="21"/>
        </w:rPr>
        <w:t xml:space="preserve">React 19.2</w:t>
      </w:r>
      <w:r>
        <w:rPr>
          <w:rFonts w:ascii="Tenorite" w:cs="Tenorite" w:eastAsia="Tenorite" w:hAnsi="Tenorite"/>
          <w:color w:val="000000"/>
          <w:sz w:val="21"/>
          <w:szCs w:val="21"/>
        </w:rPr>
        <w:t xml:space="preserve"> + </w:t>
      </w:r>
      <w:r>
        <w:rPr>
          <w:rFonts w:ascii="Tenorite" w:cs="Tenorite" w:eastAsia="Tenorite" w:hAnsi="Tenorite"/>
          <w:b/>
          <w:bCs/>
          <w:color w:val="000000"/>
          <w:sz w:val="21"/>
          <w:szCs w:val="21"/>
        </w:rPr>
        <w:t xml:space="preserve">TypeScript</w:t>
      </w:r>
      <w:r>
        <w:rPr>
          <w:rFonts w:ascii="Tenorite" w:cs="Tenorite" w:eastAsia="Tenorite" w:hAnsi="Tenorite"/>
          <w:color w:val="000000"/>
          <w:sz w:val="21"/>
          <w:szCs w:val="21"/>
        </w:rPr>
        <w:t xml:space="preserve"> (~6.0) as the UI/language foundation</w:t>
      </w:r>
    </w:p>
    <w:p>
      <w:pPr>
        <w:pStyle w:val="ListParagraph"/>
        <w:numPr>
          <w:ilvl w:val="0"/>
          <w:numId w:val="1"/>
        </w:numPr>
        <w:spacing w:after="80"/>
      </w:pPr>
      <w:r>
        <w:rPr>
          <w:rFonts w:ascii="Tenorite" w:cs="Tenorite" w:eastAsia="Tenorite" w:hAnsi="Tenorite"/>
          <w:b/>
          <w:bCs/>
          <w:color w:val="000000"/>
          <w:sz w:val="21"/>
          <w:szCs w:val="21"/>
        </w:rPr>
        <w:t xml:space="preserve">Vite 8</w:t>
      </w:r>
      <w:r>
        <w:rPr>
          <w:rFonts w:ascii="Tenorite" w:cs="Tenorite" w:eastAsia="Tenorite" w:hAnsi="Tenorite"/>
          <w:color w:val="000000"/>
          <w:sz w:val="21"/>
          <w:szCs w:val="21"/>
        </w:rPr>
        <w:t xml:space="preserve"> as build tool and dev server</w:t>
      </w:r>
    </w:p>
    <w:p>
      <w:pPr>
        <w:pStyle w:val="ListParagraph"/>
        <w:numPr>
          <w:ilvl w:val="0"/>
          <w:numId w:val="1"/>
        </w:numPr>
        <w:spacing w:after="80"/>
      </w:pPr>
      <w:r>
        <w:rPr>
          <w:rFonts w:ascii="Tenorite" w:cs="Tenorite" w:eastAsia="Tenorite" w:hAnsi="Tenorite"/>
          <w:b/>
          <w:bCs/>
          <w:color w:val="000000"/>
          <w:sz w:val="21"/>
          <w:szCs w:val="21"/>
        </w:rPr>
        <w:t xml:space="preserve">React Router 7</w:t>
      </w:r>
      <w:r>
        <w:rPr>
          <w:rFonts w:ascii="Tenorite" w:cs="Tenorite" w:eastAsia="Tenorite" w:hAnsi="Tenorite"/>
          <w:color w:val="000000"/>
          <w:sz w:val="21"/>
          <w:szCs w:val="21"/>
        </w:rPr>
        <w:t xml:space="preserve"> (</w:t>
      </w:r>
      <w:r>
        <w:rPr>
          <w:rFonts w:ascii="Tenorite" w:cs="Tenorite" w:eastAsia="Tenorite" w:hAnsi="Tenorite"/>
          <w:color w:val="000000"/>
          <w:sz w:val="21"/>
          <w:szCs w:val="21"/>
        </w:rPr>
        <w:t xml:space="preserve">react-router-dom</w:t>
      </w:r>
      <w:r>
        <w:rPr>
          <w:rFonts w:ascii="Tenorite" w:cs="Tenorite" w:eastAsia="Tenorite" w:hAnsi="Tenorite"/>
          <w:color w:val="000000"/>
          <w:sz w:val="21"/>
          <w:szCs w:val="21"/>
        </w:rPr>
        <w:t xml:space="preserve">) for client-side routing</w:t>
      </w:r>
    </w:p>
    <w:p>
      <w:pPr>
        <w:pStyle w:val="ListParagraph"/>
        <w:numPr>
          <w:ilvl w:val="0"/>
          <w:numId w:val="1"/>
        </w:numPr>
        <w:spacing w:after="80"/>
      </w:pPr>
      <w:r>
        <w:rPr>
          <w:rFonts w:ascii="Tenorite" w:cs="Tenorite" w:eastAsia="Tenorite" w:hAnsi="Tenorite"/>
          <w:b/>
          <w:bCs/>
          <w:color w:val="000000"/>
          <w:sz w:val="21"/>
          <w:szCs w:val="21"/>
        </w:rPr>
        <w:t xml:space="preserve">Zustand 5</w:t>
      </w:r>
      <w:r>
        <w:rPr>
          <w:rFonts w:ascii="Tenorite" w:cs="Tenorite" w:eastAsia="Tenorite" w:hAnsi="Tenorite"/>
          <w:color w:val="000000"/>
          <w:sz w:val="21"/>
          <w:szCs w:val="21"/>
        </w:rPr>
        <w:t xml:space="preserve"> for state management</w:t>
      </w:r>
    </w:p>
    <w:p>
      <w:pPr>
        <w:pStyle w:val="ListParagraph"/>
        <w:numPr>
          <w:ilvl w:val="0"/>
          <w:numId w:val="1"/>
        </w:numPr>
        <w:spacing w:after="80"/>
      </w:pPr>
      <w:r>
        <w:rPr>
          <w:rFonts w:ascii="Tenorite" w:cs="Tenorite" w:eastAsia="Tenorite" w:hAnsi="Tenorite"/>
          <w:b/>
          <w:bCs/>
          <w:color w:val="000000"/>
          <w:sz w:val="21"/>
          <w:szCs w:val="21"/>
        </w:rPr>
        <w:t xml:space="preserve">React Hook Form 7</w:t>
      </w:r>
      <w:r>
        <w:rPr>
          <w:rFonts w:ascii="Tenorite" w:cs="Tenorite" w:eastAsia="Tenorite" w:hAnsi="Tenorite"/>
          <w:color w:val="000000"/>
          <w:sz w:val="21"/>
          <w:szCs w:val="21"/>
        </w:rPr>
        <w:t xml:space="preserve"> for form handling</w:t>
      </w:r>
    </w:p>
    <w:p>
      <w:pPr>
        <w:pStyle w:val="ListParagraph"/>
        <w:numPr>
          <w:ilvl w:val="0"/>
          <w:numId w:val="1"/>
        </w:numPr>
        <w:spacing w:after="80"/>
      </w:pPr>
      <w:r>
        <w:rPr>
          <w:rFonts w:ascii="Tenorite" w:cs="Tenorite" w:eastAsia="Tenorite" w:hAnsi="Tenorite"/>
          <w:b/>
          <w:bCs/>
          <w:color w:val="000000"/>
          <w:sz w:val="21"/>
          <w:szCs w:val="21"/>
        </w:rPr>
        <w:t xml:space="preserve">Tailwind CSS 4</w:t>
      </w:r>
      <w:r>
        <w:rPr>
          <w:rFonts w:ascii="Tenorite" w:cs="Tenorite" w:eastAsia="Tenorite" w:hAnsi="Tenorite"/>
          <w:color w:val="000000"/>
          <w:sz w:val="21"/>
          <w:szCs w:val="21"/>
        </w:rPr>
        <w:t xml:space="preserve"> (via </w:t>
      </w:r>
      <w:r>
        <w:rPr>
          <w:rFonts w:ascii="Tenorite" w:cs="Tenorite" w:eastAsia="Tenorite" w:hAnsi="Tenorite"/>
          <w:color w:val="000000"/>
          <w:sz w:val="21"/>
          <w:szCs w:val="21"/>
        </w:rPr>
        <w:t xml:space="preserve">@tailwindcss/vite</w:t>
      </w:r>
      <w:r>
        <w:rPr>
          <w:rFonts w:ascii="Tenorite" w:cs="Tenorite" w:eastAsia="Tenorite" w:hAnsi="Tenorite"/>
          <w:color w:val="000000"/>
          <w:sz w:val="21"/>
          <w:szCs w:val="21"/>
        </w:rPr>
        <w:t xml:space="preserve">) for styling</w:t>
      </w:r>
    </w:p>
    <w:p>
      <w:pPr>
        <w:pStyle w:val="ListParagraph"/>
        <w:numPr>
          <w:ilvl w:val="0"/>
          <w:numId w:val="1"/>
        </w:numPr>
        <w:spacing w:after="80"/>
      </w:pPr>
      <w:r>
        <w:rPr>
          <w:rFonts w:ascii="Tenorite" w:cs="Tenorite" w:eastAsia="Tenorite" w:hAnsi="Tenorite"/>
          <w:b/>
          <w:bCs/>
          <w:color w:val="000000"/>
          <w:sz w:val="21"/>
          <w:szCs w:val="21"/>
        </w:rPr>
        <w:t xml:space="preserve">idb 8</w:t>
      </w:r>
      <w:r>
        <w:rPr>
          <w:rFonts w:ascii="Tenorite" w:cs="Tenorite" w:eastAsia="Tenorite" w:hAnsi="Tenorite"/>
          <w:color w:val="000000"/>
          <w:sz w:val="21"/>
          <w:szCs w:val="21"/>
        </w:rPr>
        <w:t xml:space="preserve"> — a Promise-based wrapper over the browser's IndexedDB, used to persist mock domain data locally</w:t>
      </w:r>
    </w:p>
    <w:p>
      <w:pPr>
        <w:pStyle w:val="ListParagraph"/>
        <w:numPr>
          <w:ilvl w:val="0"/>
          <w:numId w:val="1"/>
        </w:numPr>
        <w:spacing w:after="80"/>
      </w:pPr>
      <w:r>
        <w:rPr>
          <w:rFonts w:ascii="Tenorite" w:cs="Tenorite" w:eastAsia="Tenorite" w:hAnsi="Tenorite"/>
          <w:b/>
          <w:bCs/>
          <w:color w:val="000000"/>
          <w:sz w:val="21"/>
          <w:szCs w:val="21"/>
        </w:rPr>
        <w:t xml:space="preserve">oxlint</w:t>
      </w:r>
      <w:r>
        <w:rPr>
          <w:rFonts w:ascii="Tenorite" w:cs="Tenorite" w:eastAsia="Tenorite" w:hAnsi="Tenorite"/>
          <w:color w:val="000000"/>
          <w:sz w:val="21"/>
          <w:szCs w:val="21"/>
        </w:rPr>
        <w:t xml:space="preserve"> for linting</w:t>
      </w:r>
    </w:p>
    <w:p>
      <w:pPr>
        <w:spacing w:after="160" w:line="300"/>
      </w:pPr>
      <w:r>
        <w:rPr>
          <w:rFonts w:ascii="Tenorite" w:cs="Tenorite" w:eastAsia="Tenorite" w:hAnsi="Tenorite"/>
          <w:color w:val="000000"/>
          <w:sz w:val="21"/>
          <w:szCs w:val="21"/>
        </w:rPr>
        <w:t xml:space="preserve">This matches the "Assumed" stack proposed in </w:t>
      </w:r>
      <w:r>
        <w:rPr>
          <w:rFonts w:ascii="Tenorite" w:cs="Tenorite" w:eastAsia="Tenorite" w:hAnsi="Tenorite"/>
          <w:color w:val="000000"/>
          <w:sz w:val="21"/>
          <w:szCs w:val="21"/>
        </w:rPr>
        <w:t xml:space="preserve">frontend-architecture.md</w:t>
      </w:r>
      <w:r>
        <w:rPr>
          <w:rFonts w:ascii="Tenorite" w:cs="Tenorite" w:eastAsia="Tenorite" w:hAnsi="Tenorite"/>
          <w:color w:val="000000"/>
          <w:sz w:val="21"/>
          <w:szCs w:val="21"/>
        </w:rPr>
        <w:t xml:space="preserve"> almost exactly, with two real-world adjustments: React 19 instead of the originally assumed React 18, and Vite 8/Tailwind 4 reflecting current major versions at build time.</w:t>
      </w:r>
    </w:p>
    <w:p>
      <w:pPr>
        <w:pStyle w:val="Heading2"/>
        <w:spacing w:after="120" w:before="260"/>
      </w:pPr>
      <w:r>
        <w:t xml:space="preserve">The 5-engine architecture</w:t>
      </w:r>
    </w:p>
    <w:p>
      <w:pPr>
        <w:spacing w:after="160" w:line="300"/>
      </w:pPr>
      <w:r>
        <w:rPr>
          <w:rFonts w:ascii="Tenorite" w:cs="Tenorite" w:eastAsia="Tenorite" w:hAnsi="Tenorite"/>
          <w:color w:val="000000"/>
          <w:sz w:val="21"/>
          <w:szCs w:val="21"/>
        </w:rPr>
        <w:t xml:space="preserve">The application's core design idea is that behavior is data-driven, not hardcoded per screen: five "engines" in </w:t>
      </w:r>
      <w:r>
        <w:rPr>
          <w:rFonts w:ascii="Tenorite" w:cs="Tenorite" w:eastAsia="Tenorite" w:hAnsi="Tenorite"/>
          <w:color w:val="000000"/>
          <w:sz w:val="21"/>
          <w:szCs w:val="21"/>
        </w:rPr>
        <w:t xml:space="preserve">src/engines/</w:t>
      </w:r>
      <w:r>
        <w:rPr>
          <w:rFonts w:ascii="Tenorite" w:cs="Tenorite" w:eastAsia="Tenorite" w:hAnsi="Tenorite"/>
          <w:color w:val="000000"/>
          <w:sz w:val="21"/>
          <w:szCs w:val="21"/>
        </w:rPr>
        <w:t xml:space="preserve"> read JSON configuration/mock data and expose typed functions that screens call into, so that changing a business rule or permission means editing a data file rather than rewriting components. Based on the actual files present:</w:t>
      </w:r>
    </w:p>
    <w:p>
      <w:pPr>
        <w:pStyle w:val="ListParagraph"/>
        <w:numPr>
          <w:ilvl w:val="0"/>
          <w:numId w:val="1"/>
        </w:numPr>
        <w:spacing w:after="80"/>
      </w:pPr>
      <w:r>
        <w:rPr>
          <w:rFonts w:ascii="Tenorite" w:cs="Tenorite" w:eastAsia="Tenorite" w:hAnsi="Tenorite"/>
          <w:b/>
          <w:bCs/>
          <w:color w:val="000000"/>
          <w:sz w:val="21"/>
          <w:szCs w:val="21"/>
        </w:rPr>
        <w:t xml:space="preserve">`configEngine.ts`</w:t>
      </w:r>
      <w:r>
        <w:rPr>
          <w:rFonts w:ascii="Tenorite" w:cs="Tenorite" w:eastAsia="Tenorite" w:hAnsi="Tenorite"/>
          <w:color w:val="000000"/>
          <w:sz w:val="21"/>
          <w:szCs w:val="21"/>
        </w:rPr>
        <w:t xml:space="preserve"> — boot-time loader that reads configuration JSON (routes, RBAC, business rules, validation rules, personas, module hierarchy) into </w:t>
      </w:r>
      <w:r>
        <w:rPr>
          <w:rFonts w:ascii="Tenorite" w:cs="Tenorite" w:eastAsia="Tenorite" w:hAnsi="Tenorite"/>
          <w:color w:val="000000"/>
          <w:sz w:val="21"/>
          <w:szCs w:val="21"/>
        </w:rPr>
        <w:t xml:space="preserve">configStore</w:t>
      </w:r>
      <w:r>
        <w:rPr>
          <w:rFonts w:ascii="Tenorite" w:cs="Tenorite" w:eastAsia="Tenorite" w:hAnsi="Tenorite"/>
          <w:color w:val="000000"/>
          <w:sz w:val="21"/>
          <w:szCs w:val="21"/>
        </w:rPr>
        <w:t xml:space="preserve">, exposing typed accessors like </w:t>
      </w:r>
      <w:r>
        <w:rPr>
          <w:rFonts w:ascii="Tenorite" w:cs="Tenorite" w:eastAsia="Tenorite" w:hAnsi="Tenorite"/>
          <w:color w:val="000000"/>
          <w:sz w:val="21"/>
          <w:szCs w:val="21"/>
        </w:rPr>
        <w:t xml:space="preserve">getAllRoutes()</w:t>
      </w:r>
      <w:r>
        <w:rPr>
          <w:rFonts w:ascii="Tenorite" w:cs="Tenorite" w:eastAsia="Tenorite" w:hAnsi="Tenorite"/>
          <w:color w:val="000000"/>
          <w:sz w:val="21"/>
          <w:szCs w:val="21"/>
        </w:rPr>
        <w:t xml:space="preserve">, </w:t>
      </w:r>
      <w:r>
        <w:rPr>
          <w:rFonts w:ascii="Tenorite" w:cs="Tenorite" w:eastAsia="Tenorite" w:hAnsi="Tenorite"/>
          <w:color w:val="000000"/>
          <w:sz w:val="21"/>
          <w:szCs w:val="21"/>
        </w:rPr>
        <w:t xml:space="preserve">getRbacFor()</w:t>
      </w:r>
      <w:r>
        <w:rPr>
          <w:rFonts w:ascii="Tenorite" w:cs="Tenorite" w:eastAsia="Tenorite" w:hAnsi="Tenorite"/>
          <w:color w:val="000000"/>
          <w:sz w:val="21"/>
          <w:szCs w:val="21"/>
        </w:rPr>
        <w:t xml:space="preserve">, </w:t>
      </w:r>
      <w:r>
        <w:rPr>
          <w:rFonts w:ascii="Tenorite" w:cs="Tenorite" w:eastAsia="Tenorite" w:hAnsi="Tenorite"/>
          <w:color w:val="000000"/>
          <w:sz w:val="21"/>
          <w:szCs w:val="21"/>
        </w:rPr>
        <w:t xml:space="preserve">getBusinessRule()</w:t>
      </w:r>
      <w:r>
        <w:rPr>
          <w:rFonts w:ascii="Tenorite" w:cs="Tenorite" w:eastAsia="Tenorite" w:hAnsi="Tenorite"/>
          <w:color w:val="000000"/>
          <w:sz w:val="21"/>
          <w:szCs w:val="21"/>
        </w:rPr>
        <w:t xml:space="preserve">. No screen is meant to import a config file directly.</w:t>
      </w:r>
    </w:p>
    <w:p>
      <w:pPr>
        <w:pStyle w:val="ListParagraph"/>
        <w:numPr>
          <w:ilvl w:val="0"/>
          <w:numId w:val="1"/>
        </w:numPr>
        <w:spacing w:after="80"/>
      </w:pPr>
      <w:r>
        <w:rPr>
          <w:rFonts w:ascii="Tenorite" w:cs="Tenorite" w:eastAsia="Tenorite" w:hAnsi="Tenorite"/>
          <w:b/>
          <w:bCs/>
          <w:color w:val="000000"/>
          <w:sz w:val="21"/>
          <w:szCs w:val="21"/>
        </w:rPr>
        <w:t xml:space="preserve">`ruleEngine.ts`</w:t>
      </w:r>
      <w:r>
        <w:rPr>
          <w:rFonts w:ascii="Tenorite" w:cs="Tenorite" w:eastAsia="Tenorite" w:hAnsi="Tenorite"/>
          <w:color w:val="000000"/>
          <w:sz w:val="21"/>
          <w:szCs w:val="21"/>
        </w:rPr>
        <w:t xml:space="preserve"> — looks up the 346-entry business-rule catalogue and resolves an implementation registry keyed by rule ID (</w:t>
      </w:r>
      <w:r>
        <w:rPr>
          <w:rFonts w:ascii="Tenorite" w:cs="Tenorite" w:eastAsia="Tenorite" w:hAnsi="Tenorite"/>
          <w:color w:val="000000"/>
          <w:sz w:val="21"/>
          <w:szCs w:val="21"/>
        </w:rPr>
        <w:t xml:space="preserve">BR-xxx</w:t>
      </w:r>
      <w:r>
        <w:rPr>
          <w:rFonts w:ascii="Tenorite" w:cs="Tenorite" w:eastAsia="Tenorite" w:hAnsi="Tenorite"/>
          <w:color w:val="000000"/>
          <w:sz w:val="21"/>
          <w:szCs w:val="21"/>
        </w:rPr>
        <w:t xml:space="preserve">), so a screen can evaluate a named business rule (e.g. a Bill Limit threshold check) without embedding the logic inline.</w:t>
      </w:r>
    </w:p>
    <w:p>
      <w:pPr>
        <w:pStyle w:val="ListParagraph"/>
        <w:numPr>
          <w:ilvl w:val="0"/>
          <w:numId w:val="1"/>
        </w:numPr>
        <w:spacing w:after="80"/>
      </w:pPr>
      <w:r>
        <w:rPr>
          <w:rFonts w:ascii="Tenorite" w:cs="Tenorite" w:eastAsia="Tenorite" w:hAnsi="Tenorite"/>
          <w:b/>
          <w:bCs/>
          <w:color w:val="000000"/>
          <w:sz w:val="21"/>
          <w:szCs w:val="21"/>
        </w:rPr>
        <w:t xml:space="preserve">`validationEngine.ts`</w:t>
      </w:r>
      <w:r>
        <w:rPr>
          <w:rFonts w:ascii="Tenorite" w:cs="Tenorite" w:eastAsia="Tenorite" w:hAnsi="Tenorite"/>
          <w:color w:val="000000"/>
          <w:sz w:val="21"/>
          <w:szCs w:val="21"/>
        </w:rPr>
        <w:t xml:space="preserve"> — the field-level counterpart to the rule engine: resolves validation rules per screen/field for React Hook Form, drawing on the 418-entry validation catalogue.</w:t>
      </w:r>
    </w:p>
    <w:p>
      <w:pPr>
        <w:pStyle w:val="ListParagraph"/>
        <w:numPr>
          <w:ilvl w:val="0"/>
          <w:numId w:val="1"/>
        </w:numPr>
        <w:spacing w:after="80"/>
      </w:pPr>
      <w:r>
        <w:rPr>
          <w:rFonts w:ascii="Tenorite" w:cs="Tenorite" w:eastAsia="Tenorite" w:hAnsi="Tenorite"/>
          <w:b/>
          <w:bCs/>
          <w:color w:val="000000"/>
          <w:sz w:val="21"/>
          <w:szCs w:val="21"/>
        </w:rPr>
        <w:t xml:space="preserve">`mockDataEngine.ts`</w:t>
      </w:r>
      <w:r>
        <w:rPr>
          <w:rFonts w:ascii="Tenorite" w:cs="Tenorite" w:eastAsia="Tenorite" w:hAnsi="Tenorite"/>
          <w:color w:val="000000"/>
          <w:sz w:val="21"/>
          <w:szCs w:val="21"/>
        </w:rPr>
        <w:t xml:space="preserve"> — simulates the backend entirely client-side: seeds </w:t>
      </w:r>
      <w:r>
        <w:rPr>
          <w:rFonts w:ascii="Tenorite" w:cs="Tenorite" w:eastAsia="Tenorite" w:hAnsi="Tenorite"/>
          <w:color w:val="000000"/>
          <w:sz w:val="21"/>
          <w:szCs w:val="21"/>
        </w:rPr>
        <w:t xml:space="preserve">entityStore</w:t>
      </w:r>
      <w:r>
        <w:rPr>
          <w:rFonts w:ascii="Tenorite" w:cs="Tenorite" w:eastAsia="Tenorite" w:hAnsi="Tenorite"/>
          <w:color w:val="000000"/>
          <w:sz w:val="21"/>
          <w:szCs w:val="21"/>
        </w:rPr>
        <w:t xml:space="preserve"> from mock JSON, performs CRUD with artificial latency to preserve realistic loading states, enforces relationships between entities, and manages lifecycle-state transitions (e.g. a billing profile moving from good standing to overdue to blacklisted).</w:t>
      </w:r>
    </w:p>
    <w:p>
      <w:pPr>
        <w:pStyle w:val="ListParagraph"/>
        <w:numPr>
          <w:ilvl w:val="0"/>
          <w:numId w:val="1"/>
        </w:numPr>
        <w:spacing w:after="80"/>
      </w:pPr>
      <w:r>
        <w:rPr>
          <w:rFonts w:ascii="Tenorite" w:cs="Tenorite" w:eastAsia="Tenorite" w:hAnsi="Tenorite"/>
          <w:b/>
          <w:bCs/>
          <w:color w:val="000000"/>
          <w:sz w:val="21"/>
          <w:szCs w:val="21"/>
        </w:rPr>
        <w:t xml:space="preserve">`personaEngine.ts`</w:t>
      </w:r>
      <w:r>
        <w:rPr>
          <w:rFonts w:ascii="Tenorite" w:cs="Tenorite" w:eastAsia="Tenorite" w:hAnsi="Tenorite"/>
          <w:color w:val="000000"/>
          <w:sz w:val="21"/>
          <w:szCs w:val="21"/>
        </w:rPr>
        <w:t xml:space="preserve"> — drives the "login-as" persona simulation: filters visible navigation/routes and gates screen/action-level UI by looking up RBAC entries for the (persona, screen) pair, defaulting to hidden rather than merely disabled when no entry exists.</w:t>
      </w:r>
    </w:p>
    <w:p>
      <w:pPr>
        <w:spacing w:after="160" w:line="300"/>
      </w:pPr>
      <w:r>
        <w:rPr>
          <w:rFonts w:ascii="Tenorite" w:cs="Tenorite" w:eastAsia="Tenorite" w:hAnsi="Tenorite"/>
          <w:color w:val="000000"/>
          <w:sz w:val="21"/>
          <w:szCs w:val="21"/>
        </w:rPr>
        <w:t xml:space="preserve">Two additional engine-adjacent files exist beyond the original five: </w:t>
      </w:r>
      <w:r>
        <w:rPr>
          <w:rFonts w:ascii="Tenorite" w:cs="Tenorite" w:eastAsia="Tenorite" w:hAnsi="Tenorite"/>
          <w:color w:val="000000"/>
          <w:sz w:val="21"/>
          <w:szCs w:val="21"/>
        </w:rPr>
        <w:t xml:space="preserve">agentProfileEngine.ts</w:t>
      </w:r>
      <w:r>
        <w:rPr>
          <w:rFonts w:ascii="Tenorite" w:cs="Tenorite" w:eastAsia="Tenorite" w:hAnsi="Tenorite"/>
          <w:color w:val="000000"/>
          <w:sz w:val="21"/>
          <w:szCs w:val="21"/>
        </w:rPr>
        <w:t xml:space="preserve"> (agent-specific profile logic) and </w:t>
      </w:r>
      <w:r>
        <w:rPr>
          <w:rFonts w:ascii="Tenorite" w:cs="Tenorite" w:eastAsia="Tenorite" w:hAnsi="Tenorite"/>
          <w:color w:val="000000"/>
          <w:sz w:val="21"/>
          <w:szCs w:val="21"/>
        </w:rPr>
        <w:t xml:space="preserve">screenGrouping.ts</w:t>
      </w:r>
      <w:r>
        <w:rPr>
          <w:rFonts w:ascii="Tenorite" w:cs="Tenorite" w:eastAsia="Tenorite" w:hAnsi="Tenorite"/>
          <w:color w:val="000000"/>
          <w:sz w:val="21"/>
          <w:szCs w:val="21"/>
        </w:rPr>
        <w:t xml:space="preserve"> (groups screens for navigation/list display), plus </w:t>
      </w:r>
      <w:r>
        <w:rPr>
          <w:rFonts w:ascii="Tenorite" w:cs="Tenorite" w:eastAsia="Tenorite" w:hAnsi="Tenorite"/>
          <w:color w:val="000000"/>
          <w:sz w:val="21"/>
          <w:szCs w:val="21"/>
        </w:rPr>
        <w:t xml:space="preserve">moduleDescriptions.ts</w:t>
      </w:r>
      <w:r>
        <w:rPr>
          <w:rFonts w:ascii="Tenorite" w:cs="Tenorite" w:eastAsia="Tenorite" w:hAnsi="Tenorite"/>
          <w:color w:val="000000"/>
          <w:sz w:val="21"/>
          <w:szCs w:val="21"/>
        </w:rPr>
        <w:t xml:space="preserve">, a small hand-authored lookup of one-line descriptions for each of the 16 modules (used by the Dashboard and module screen-list headers) — explicitly </w:t>
      </w:r>
      <w:r>
        <w:rPr>
          <w:rFonts w:ascii="Tenorite" w:cs="Tenorite" w:eastAsia="Tenorite" w:hAnsi="Tenorite"/>
          <w:i/>
          <w:iCs/>
          <w:color w:val="000000"/>
          <w:sz w:val="21"/>
          <w:szCs w:val="21"/>
        </w:rPr>
        <w:t xml:space="preserve">not</w:t>
      </w:r>
      <w:r>
        <w:rPr>
          <w:rFonts w:ascii="Tenorite" w:cs="Tenorite" w:eastAsia="Tenorite" w:hAnsi="Tenorite"/>
          <w:color w:val="000000"/>
          <w:sz w:val="21"/>
          <w:szCs w:val="21"/>
        </w:rPr>
        <w:t xml:space="preserve"> sourced from the evidence corpus, since </w:t>
      </w:r>
      <w:r>
        <w:rPr>
          <w:rFonts w:ascii="Tenorite" w:cs="Tenorite" w:eastAsia="Tenorite" w:hAnsi="Tenorite"/>
          <w:color w:val="000000"/>
          <w:sz w:val="21"/>
          <w:szCs w:val="21"/>
        </w:rPr>
        <w:t xml:space="preserve">module-hierarchy.json</w:t>
      </w:r>
      <w:r>
        <w:rPr>
          <w:rFonts w:ascii="Tenorite" w:cs="Tenorite" w:eastAsia="Tenorite" w:hAnsi="Tenorite"/>
          <w:color w:val="000000"/>
          <w:sz w:val="21"/>
          <w:szCs w:val="21"/>
        </w:rPr>
        <w:t xml:space="preserve"> has no description field.</w:t>
      </w:r>
    </w:p>
    <w:p>
      <w:pPr>
        <w:pStyle w:val="Heading2"/>
        <w:spacing w:after="120" w:before="260"/>
      </w:pPr>
      <w:r>
        <w:t xml:space="preserve">State management (Zustand stores)</w:t>
      </w:r>
    </w:p>
    <w:p>
      <w:pPr>
        <w:spacing w:after="160" w:line="300"/>
      </w:pPr>
      <w:r>
        <w:rPr>
          <w:rFonts w:ascii="Tenorite" w:cs="Tenorite" w:eastAsia="Tenorite" w:hAnsi="Tenorite"/>
          <w:color w:val="000000"/>
          <w:sz w:val="21"/>
          <w:szCs w:val="21"/>
        </w:rPr>
        <w:t xml:space="preserve">src/stores/</w:t>
      </w:r>
      <w:r>
        <w:rPr>
          <w:rFonts w:ascii="Tenorite" w:cs="Tenorite" w:eastAsia="Tenorite" w:hAnsi="Tenorite"/>
          <w:color w:val="000000"/>
          <w:sz w:val="21"/>
          <w:szCs w:val="21"/>
        </w:rPr>
        <w:t xml:space="preserve"> contains eight stores, four more than the five originally specified in </w:t>
      </w:r>
      <w:r>
        <w:rPr>
          <w:rFonts w:ascii="Tenorite" w:cs="Tenorite" w:eastAsia="Tenorite" w:hAnsi="Tenorite"/>
          <w:color w:val="000000"/>
          <w:sz w:val="21"/>
          <w:szCs w:val="21"/>
        </w:rPr>
        <w:t xml:space="preserve">frontend-architecture.md</w:t>
      </w:r>
      <w:r>
        <w:rPr>
          <w:rFonts w:ascii="Tenorite" w:cs="Tenorite" w:eastAsia="Tenorite" w:hAnsi="Tenorite"/>
          <w:color w:val="000000"/>
          <w:sz w:val="21"/>
          <w:szCs w:val="21"/>
        </w:rPr>
        <w:t xml:space="preserve">:</w:t>
      </w:r>
    </w:p>
    <w:p>
      <w:pPr>
        <w:pStyle w:val="ListParagraph"/>
        <w:numPr>
          <w:ilvl w:val="0"/>
          <w:numId w:val="1"/>
        </w:numPr>
        <w:spacing w:after="80"/>
      </w:pPr>
      <w:r>
        <w:rPr>
          <w:rFonts w:ascii="Tenorite" w:cs="Tenorite" w:eastAsia="Tenorite" w:hAnsi="Tenorite"/>
          <w:b/>
          <w:bCs/>
          <w:color w:val="000000"/>
          <w:sz w:val="21"/>
          <w:szCs w:val="21"/>
        </w:rPr>
        <w:t xml:space="preserve">`configStore`</w:t>
      </w:r>
      <w:r>
        <w:rPr>
          <w:rFonts w:ascii="Tenorite" w:cs="Tenorite" w:eastAsia="Tenorite" w:hAnsi="Tenorite"/>
          <w:color w:val="000000"/>
          <w:sz w:val="21"/>
          <w:szCs w:val="21"/>
        </w:rPr>
        <w:t xml:space="preserve"> — loaded config JSON (routes, RBAC, rules, personas); read-only after boot</w:t>
      </w:r>
    </w:p>
    <w:p>
      <w:pPr>
        <w:pStyle w:val="ListParagraph"/>
        <w:numPr>
          <w:ilvl w:val="0"/>
          <w:numId w:val="1"/>
        </w:numPr>
        <w:spacing w:after="80"/>
      </w:pPr>
      <w:r>
        <w:rPr>
          <w:rFonts w:ascii="Tenorite" w:cs="Tenorite" w:eastAsia="Tenorite" w:hAnsi="Tenorite"/>
          <w:b/>
          <w:bCs/>
          <w:color w:val="000000"/>
          <w:sz w:val="21"/>
          <w:szCs w:val="21"/>
        </w:rPr>
        <w:t xml:space="preserve">`entityStore`</w:t>
      </w:r>
      <w:r>
        <w:rPr>
          <w:rFonts w:ascii="Tenorite" w:cs="Tenorite" w:eastAsia="Tenorite" w:hAnsi="Tenorite"/>
          <w:color w:val="000000"/>
          <w:sz w:val="21"/>
          <w:szCs w:val="21"/>
        </w:rPr>
        <w:t xml:space="preserve"> — the mock "database" of domain records (customers, accounts, orders, etc.)</w:t>
      </w:r>
    </w:p>
    <w:p>
      <w:pPr>
        <w:pStyle w:val="ListParagraph"/>
        <w:numPr>
          <w:ilvl w:val="0"/>
          <w:numId w:val="1"/>
        </w:numPr>
        <w:spacing w:after="80"/>
      </w:pPr>
      <w:r>
        <w:rPr>
          <w:rFonts w:ascii="Tenorite" w:cs="Tenorite" w:eastAsia="Tenorite" w:hAnsi="Tenorite"/>
          <w:b/>
          <w:bCs/>
          <w:color w:val="000000"/>
          <w:sz w:val="21"/>
          <w:szCs w:val="21"/>
        </w:rPr>
        <w:t xml:space="preserve">`personaStore`</w:t>
      </w:r>
      <w:r>
        <w:rPr>
          <w:rFonts w:ascii="Tenorite" w:cs="Tenorite" w:eastAsia="Tenorite" w:hAnsi="Tenorite"/>
          <w:color w:val="000000"/>
          <w:sz w:val="21"/>
          <w:szCs w:val="21"/>
        </w:rPr>
        <w:t xml:space="preserve"> — the currently active simulated persona/role</w:t>
      </w:r>
    </w:p>
    <w:p>
      <w:pPr>
        <w:pStyle w:val="ListParagraph"/>
        <w:numPr>
          <w:ilvl w:val="0"/>
          <w:numId w:val="1"/>
        </w:numPr>
        <w:spacing w:after="80"/>
      </w:pPr>
      <w:r>
        <w:rPr>
          <w:rFonts w:ascii="Tenorite" w:cs="Tenorite" w:eastAsia="Tenorite" w:hAnsi="Tenorite"/>
          <w:b/>
          <w:bCs/>
          <w:color w:val="000000"/>
          <w:sz w:val="21"/>
          <w:szCs w:val="21"/>
        </w:rPr>
        <w:t xml:space="preserve">`workflowStore`</w:t>
      </w:r>
      <w:r>
        <w:rPr>
          <w:rFonts w:ascii="Tenorite" w:cs="Tenorite" w:eastAsia="Tenorite" w:hAnsi="Tenorite"/>
          <w:color w:val="000000"/>
          <w:sz w:val="21"/>
          <w:szCs w:val="21"/>
        </w:rPr>
        <w:t xml:space="preserve"> — in-progress wizard/journey state (current step, draft values)</w:t>
      </w:r>
    </w:p>
    <w:p>
      <w:pPr>
        <w:pStyle w:val="ListParagraph"/>
        <w:numPr>
          <w:ilvl w:val="0"/>
          <w:numId w:val="1"/>
        </w:numPr>
        <w:spacing w:after="80"/>
      </w:pPr>
      <w:r>
        <w:rPr>
          <w:rFonts w:ascii="Tenorite" w:cs="Tenorite" w:eastAsia="Tenorite" w:hAnsi="Tenorite"/>
          <w:b/>
          <w:bCs/>
          <w:color w:val="000000"/>
          <w:sz w:val="21"/>
          <w:szCs w:val="21"/>
        </w:rPr>
        <w:t xml:space="preserve">`notificationStore`</w:t>
      </w:r>
      <w:r>
        <w:rPr>
          <w:rFonts w:ascii="Tenorite" w:cs="Tenorite" w:eastAsia="Tenorite" w:hAnsi="Tenorite"/>
          <w:color w:val="000000"/>
          <w:sz w:val="21"/>
          <w:szCs w:val="21"/>
        </w:rPr>
        <w:t xml:space="preserve"> — toast/alert queue</w:t>
      </w:r>
    </w:p>
    <w:p>
      <w:pPr>
        <w:pStyle w:val="ListParagraph"/>
        <w:numPr>
          <w:ilvl w:val="0"/>
          <w:numId w:val="1"/>
        </w:numPr>
        <w:spacing w:after="80"/>
      </w:pPr>
      <w:r>
        <w:rPr>
          <w:rFonts w:ascii="Tenorite" w:cs="Tenorite" w:eastAsia="Tenorite" w:hAnsi="Tenorite"/>
          <w:b/>
          <w:bCs/>
          <w:color w:val="000000"/>
          <w:sz w:val="21"/>
          <w:szCs w:val="21"/>
        </w:rPr>
        <w:t xml:space="preserve">`authStore`</w:t>
      </w:r>
      <w:r>
        <w:rPr>
          <w:rFonts w:ascii="Tenorite" w:cs="Tenorite" w:eastAsia="Tenorite" w:hAnsi="Tenorite"/>
          <w:color w:val="000000"/>
          <w:sz w:val="21"/>
          <w:szCs w:val="21"/>
        </w:rPr>
        <w:t xml:space="preserve"> — login/authentication state; </w:t>
      </w:r>
      <w:r>
        <w:rPr>
          <w:rFonts w:ascii="Tenorite" w:cs="Tenorite" w:eastAsia="Tenorite" w:hAnsi="Tenorite"/>
          <w:color w:val="000000"/>
          <w:sz w:val="21"/>
          <w:szCs w:val="21"/>
        </w:rPr>
        <w:t xml:space="preserve">App.tsx</w:t>
      </w:r>
      <w:r>
        <w:rPr>
          <w:rFonts w:ascii="Tenorite" w:cs="Tenorite" w:eastAsia="Tenorite" w:hAnsi="Tenorite"/>
          <w:color w:val="000000"/>
          <w:sz w:val="21"/>
          <w:szCs w:val="21"/>
        </w:rPr>
        <w:t xml:space="preserve"> gates the whole app behind </w:t>
      </w:r>
      <w:r>
        <w:rPr>
          <w:rFonts w:ascii="Tenorite" w:cs="Tenorite" w:eastAsia="Tenorite" w:hAnsi="Tenorite"/>
          <w:color w:val="000000"/>
          <w:sz w:val="21"/>
          <w:szCs w:val="21"/>
        </w:rPr>
        <w:t xml:space="preserve">isAuthenticated</w:t>
      </w:r>
      <w:r>
        <w:rPr>
          <w:rFonts w:ascii="Tenorite" w:cs="Tenorite" w:eastAsia="Tenorite" w:hAnsi="Tenorite"/>
          <w:color w:val="000000"/>
          <w:sz w:val="21"/>
          <w:szCs w:val="21"/>
        </w:rPr>
        <w:t xml:space="preserve">, rendering a </w:t>
      </w:r>
      <w:r>
        <w:rPr>
          <w:rFonts w:ascii="Tenorite" w:cs="Tenorite" w:eastAsia="Tenorite" w:hAnsi="Tenorite"/>
          <w:color w:val="000000"/>
          <w:sz w:val="21"/>
          <w:szCs w:val="21"/>
        </w:rPr>
        <w:t xml:space="preserve">LoginPage</w:t>
      </w:r>
      <w:r>
        <w:rPr>
          <w:rFonts w:ascii="Tenorite" w:cs="Tenorite" w:eastAsia="Tenorite" w:hAnsi="Tenorite"/>
          <w:color w:val="000000"/>
          <w:sz w:val="21"/>
          <w:szCs w:val="21"/>
        </w:rPr>
        <w:t xml:space="preserve"> when false</w:t>
      </w:r>
    </w:p>
    <w:p>
      <w:pPr>
        <w:pStyle w:val="ListParagraph"/>
        <w:numPr>
          <w:ilvl w:val="0"/>
          <w:numId w:val="1"/>
        </w:numPr>
        <w:spacing w:after="80"/>
      </w:pPr>
      <w:r>
        <w:rPr>
          <w:rFonts w:ascii="Tenorite" w:cs="Tenorite" w:eastAsia="Tenorite" w:hAnsi="Tenorite"/>
          <w:b/>
          <w:bCs/>
          <w:color w:val="000000"/>
          <w:sz w:val="21"/>
          <w:szCs w:val="21"/>
        </w:rPr>
        <w:t xml:space="preserve">`themeStore`</w:t>
      </w:r>
      <w:r>
        <w:rPr>
          <w:rFonts w:ascii="Tenorite" w:cs="Tenorite" w:eastAsia="Tenorite" w:hAnsi="Tenorite"/>
          <w:color w:val="000000"/>
          <w:sz w:val="21"/>
          <w:szCs w:val="21"/>
        </w:rPr>
        <w:t xml:space="preserve"> — light/dark theme toggle (drives a </w:t>
      </w:r>
      <w:r>
        <w:rPr>
          <w:rFonts w:ascii="Tenorite" w:cs="Tenorite" w:eastAsia="Tenorite" w:hAnsi="Tenorite"/>
          <w:color w:val="000000"/>
          <w:sz w:val="21"/>
          <w:szCs w:val="21"/>
        </w:rPr>
        <w:t xml:space="preserve">dark</w:t>
      </w:r>
      <w:r>
        <w:rPr>
          <w:rFonts w:ascii="Tenorite" w:cs="Tenorite" w:eastAsia="Tenorite" w:hAnsi="Tenorite"/>
          <w:color w:val="000000"/>
          <w:sz w:val="21"/>
          <w:szCs w:val="21"/>
        </w:rPr>
        <w:t xml:space="preserve"> class on </w:t>
      </w:r>
      <w:r>
        <w:rPr>
          <w:rFonts w:ascii="Tenorite" w:cs="Tenorite" w:eastAsia="Tenorite" w:hAnsi="Tenorite"/>
          <w:color w:val="000000"/>
          <w:sz w:val="21"/>
          <w:szCs w:val="21"/>
        </w:rPr>
        <w:t xml:space="preserve">&lt;html&gt;</w:t>
      </w:r>
      <w:r>
        <w:rPr>
          <w:rFonts w:ascii="Tenorite" w:cs="Tenorite" w:eastAsia="Tenorite" w:hAnsi="Tenorite"/>
          <w:color w:val="000000"/>
          <w:sz w:val="21"/>
          <w:szCs w:val="21"/>
        </w:rPr>
        <w:t xml:space="preserve">)</w:t>
      </w:r>
    </w:p>
    <w:p>
      <w:pPr>
        <w:pStyle w:val="ListParagraph"/>
        <w:numPr>
          <w:ilvl w:val="0"/>
          <w:numId w:val="1"/>
        </w:numPr>
        <w:spacing w:after="80"/>
      </w:pPr>
      <w:r>
        <w:rPr>
          <w:rFonts w:ascii="Tenorite" w:cs="Tenorite" w:eastAsia="Tenorite" w:hAnsi="Tenorite"/>
          <w:b/>
          <w:bCs/>
          <w:color w:val="000000"/>
          <w:sz w:val="21"/>
          <w:szCs w:val="21"/>
        </w:rPr>
        <w:t xml:space="preserve">`sidebarStore`</w:t>
      </w:r>
      <w:r>
        <w:rPr>
          <w:rFonts w:ascii="Tenorite" w:cs="Tenorite" w:eastAsia="Tenorite" w:hAnsi="Tenorite"/>
          <w:color w:val="000000"/>
          <w:sz w:val="21"/>
          <w:szCs w:val="21"/>
        </w:rPr>
        <w:t xml:space="preserve"> — sidebar UI state (e.g. collapsed/expanded)</w:t>
      </w:r>
    </w:p>
    <w:p>
      <w:pPr>
        <w:spacing w:after="160" w:line="300"/>
      </w:pPr>
      <w:r>
        <w:rPr>
          <w:rFonts w:ascii="Tenorite" w:cs="Tenorite" w:eastAsia="Tenorite" w:hAnsi="Tenorite"/>
          <w:color w:val="000000"/>
          <w:sz w:val="21"/>
          <w:szCs w:val="21"/>
        </w:rPr>
        <w:t xml:space="preserve">The three additions (</w:t>
      </w:r>
      <w:r>
        <w:rPr>
          <w:rFonts w:ascii="Tenorite" w:cs="Tenorite" w:eastAsia="Tenorite" w:hAnsi="Tenorite"/>
          <w:color w:val="000000"/>
          <w:sz w:val="21"/>
          <w:szCs w:val="21"/>
        </w:rPr>
        <w:t xml:space="preserve">authStore</w:t>
      </w:r>
      <w:r>
        <w:rPr>
          <w:rFonts w:ascii="Tenorite" w:cs="Tenorite" w:eastAsia="Tenorite" w:hAnsi="Tenorite"/>
          <w:color w:val="000000"/>
          <w:sz w:val="21"/>
          <w:szCs w:val="21"/>
        </w:rPr>
        <w:t xml:space="preserve">, </w:t>
      </w:r>
      <w:r>
        <w:rPr>
          <w:rFonts w:ascii="Tenorite" w:cs="Tenorite" w:eastAsia="Tenorite" w:hAnsi="Tenorite"/>
          <w:color w:val="000000"/>
          <w:sz w:val="21"/>
          <w:szCs w:val="21"/>
        </w:rPr>
        <w:t xml:space="preserve">themeStore</w:t>
      </w:r>
      <w:r>
        <w:rPr>
          <w:rFonts w:ascii="Tenorite" w:cs="Tenorite" w:eastAsia="Tenorite" w:hAnsi="Tenorite"/>
          <w:color w:val="000000"/>
          <w:sz w:val="21"/>
          <w:szCs w:val="21"/>
        </w:rPr>
        <w:t xml:space="preserve">, </w:t>
      </w:r>
      <w:r>
        <w:rPr>
          <w:rFonts w:ascii="Tenorite" w:cs="Tenorite" w:eastAsia="Tenorite" w:hAnsi="Tenorite"/>
          <w:color w:val="000000"/>
          <w:sz w:val="21"/>
          <w:szCs w:val="21"/>
        </w:rPr>
        <w:t xml:space="preserve">sidebarStore</w:t>
      </w:r>
      <w:r>
        <w:rPr>
          <w:rFonts w:ascii="Tenorite" w:cs="Tenorite" w:eastAsia="Tenorite" w:hAnsi="Tenorite"/>
          <w:color w:val="000000"/>
          <w:sz w:val="21"/>
          <w:szCs w:val="21"/>
        </w:rPr>
        <w:t xml:space="preserve">) are pragmatic UI-state stores that emerged during build-out beyond the five bounded contexts originally scoped.</w:t>
      </w:r>
    </w:p>
    <w:p>
      <w:pPr>
        <w:pStyle w:val="Heading2"/>
        <w:spacing w:after="120" w:before="260"/>
      </w:pPr>
      <w:r>
        <w:t xml:space="preserve">Routing approach</w:t>
      </w:r>
    </w:p>
    <w:p>
      <w:pPr>
        <w:spacing w:after="160" w:line="300"/>
      </w:pPr>
      <w:r>
        <w:rPr>
          <w:rFonts w:ascii="Tenorite" w:cs="Tenorite" w:eastAsia="Tenorite" w:hAnsi="Tenorite"/>
          <w:color w:val="000000"/>
          <w:sz w:val="21"/>
          <w:szCs w:val="21"/>
        </w:rPr>
        <w:t xml:space="preserve">Routing is deliberately generic rather than one static route per screen. </w:t>
      </w:r>
      <w:r>
        <w:rPr>
          <w:rFonts w:ascii="Tenorite" w:cs="Tenorite" w:eastAsia="Tenorite" w:hAnsi="Tenorite"/>
          <w:color w:val="000000"/>
          <w:sz w:val="21"/>
          <w:szCs w:val="21"/>
        </w:rPr>
        <w:t xml:space="preserve">router.tsx</w:t>
      </w:r>
      <w:r>
        <w:rPr>
          <w:rFonts w:ascii="Tenorite" w:cs="Tenorite" w:eastAsia="Tenorite" w:hAnsi="Tenorite"/>
          <w:color w:val="000000"/>
          <w:sz w:val="21"/>
          <w:szCs w:val="21"/>
        </w:rPr>
        <w:t xml:space="preserve"> defines only four routes: </w:t>
      </w:r>
      <w:r>
        <w:rPr>
          <w:rFonts w:ascii="Tenorite" w:cs="Tenorite" w:eastAsia="Tenorite" w:hAnsi="Tenorite"/>
          <w:color w:val="000000"/>
          <w:sz w:val="21"/>
          <w:szCs w:val="21"/>
        </w:rPr>
        <w:t xml:space="preserve">/</w:t>
      </w:r>
      <w:r>
        <w:rPr>
          <w:rFonts w:ascii="Tenorite" w:cs="Tenorite" w:eastAsia="Tenorite" w:hAnsi="Tenorite"/>
          <w:color w:val="000000"/>
          <w:sz w:val="21"/>
          <w:szCs w:val="21"/>
        </w:rPr>
        <w:t xml:space="preserve"> (Dashboard), </w:t>
      </w:r>
      <w:r>
        <w:rPr>
          <w:rFonts w:ascii="Tenorite" w:cs="Tenorite" w:eastAsia="Tenorite" w:hAnsi="Tenorite"/>
          <w:color w:val="000000"/>
          <w:sz w:val="21"/>
          <w:szCs w:val="21"/>
        </w:rPr>
        <w:t xml:space="preserve">/:moduleSlug</w:t>
      </w:r>
      <w:r>
        <w:rPr>
          <w:rFonts w:ascii="Tenorite" w:cs="Tenorite" w:eastAsia="Tenorite" w:hAnsi="Tenorite"/>
          <w:color w:val="000000"/>
          <w:sz w:val="21"/>
          <w:szCs w:val="21"/>
        </w:rPr>
        <w:t xml:space="preserve"> (a module's screen list), </w:t>
      </w:r>
      <w:r>
        <w:rPr>
          <w:rFonts w:ascii="Tenorite" w:cs="Tenorite" w:eastAsia="Tenorite" w:hAnsi="Tenorite"/>
          <w:color w:val="000000"/>
          <w:sz w:val="21"/>
          <w:szCs w:val="21"/>
        </w:rPr>
        <w:t xml:space="preserve">/:moduleSlug/:screenSlug</w:t>
      </w:r>
      <w:r>
        <w:rPr>
          <w:rFonts w:ascii="Tenorite" w:cs="Tenorite" w:eastAsia="Tenorite" w:hAnsi="Tenorite"/>
          <w:color w:val="000000"/>
          <w:sz w:val="21"/>
          <w:szCs w:val="21"/>
        </w:rPr>
        <w:t xml:space="preserve"> (resolves to an individual screen), and a catch-all </w:t>
      </w:r>
      <w:r>
        <w:rPr>
          <w:rFonts w:ascii="Tenorite" w:cs="Tenorite" w:eastAsia="Tenorite" w:hAnsi="Tenorite"/>
          <w:color w:val="000000"/>
          <w:sz w:val="21"/>
          <w:szCs w:val="21"/>
        </w:rPr>
        <w:t xml:space="preserve">*</w:t>
      </w:r>
      <w:r>
        <w:rPr>
          <w:rFonts w:ascii="Tenorite" w:cs="Tenorite" w:eastAsia="Tenorite" w:hAnsi="Tenorite"/>
          <w:color w:val="000000"/>
          <w:sz w:val="21"/>
          <w:szCs w:val="21"/>
        </w:rPr>
        <w:t xml:space="preserve"> (NotFound). The dynamic two-level route relies on React Router v6+'s automatic specificity ranking, so route declaration order doesn't matter.</w:t>
      </w:r>
    </w:p>
    <w:p>
      <w:pPr>
        <w:spacing w:after="160" w:line="300"/>
      </w:pPr>
      <w:r>
        <w:rPr>
          <w:rFonts w:ascii="Tenorite" w:cs="Tenorite" w:eastAsia="Tenorite" w:hAnsi="Tenorite"/>
          <w:color w:val="000000"/>
          <w:sz w:val="21"/>
          <w:szCs w:val="21"/>
        </w:rPr>
        <w:t xml:space="preserve">Each module's </w:t>
      </w:r>
      <w:r>
        <w:rPr>
          <w:rFonts w:ascii="Tenorite" w:cs="Tenorite" w:eastAsia="Tenorite" w:hAnsi="Tenorite"/>
          <w:color w:val="000000"/>
          <w:sz w:val="21"/>
          <w:szCs w:val="21"/>
        </w:rPr>
        <w:t xml:space="preserve">screens/index.tsx</w:t>
      </w:r>
      <w:r>
        <w:rPr>
          <w:rFonts w:ascii="Tenorite" w:cs="Tenorite" w:eastAsia="Tenorite" w:hAnsi="Tenorite"/>
          <w:color w:val="000000"/>
          <w:sz w:val="21"/>
          <w:szCs w:val="21"/>
        </w:rPr>
        <w:t xml:space="preserve"> file calls </w:t>
      </w:r>
      <w:r>
        <w:rPr>
          <w:rFonts w:ascii="Tenorite" w:cs="Tenorite" w:eastAsia="Tenorite" w:hAnsi="Tenorite"/>
          <w:color w:val="000000"/>
          <w:sz w:val="21"/>
          <w:szCs w:val="21"/>
        </w:rPr>
        <w:t xml:space="preserve">registerScreen(screenId, Component)</w:t>
      </w:r>
      <w:r>
        <w:rPr>
          <w:rFonts w:ascii="Tenorite" w:cs="Tenorite" w:eastAsia="Tenorite" w:hAnsi="Tenorite"/>
          <w:color w:val="000000"/>
          <w:sz w:val="21"/>
          <w:szCs w:val="21"/>
        </w:rPr>
        <w:t xml:space="preserve"> against a central </w:t>
      </w:r>
      <w:r>
        <w:rPr>
          <w:rFonts w:ascii="Tenorite" w:cs="Tenorite" w:eastAsia="Tenorite" w:hAnsi="Tenorite"/>
          <w:color w:val="000000"/>
          <w:sz w:val="21"/>
          <w:szCs w:val="21"/>
        </w:rPr>
        <w:t xml:space="preserve">screenRegistry.ts</w:t>
      </w:r>
      <w:r>
        <w:rPr>
          <w:rFonts w:ascii="Tenorite" w:cs="Tenorite" w:eastAsia="Tenorite" w:hAnsi="Tenorite"/>
          <w:color w:val="000000"/>
          <w:sz w:val="21"/>
          <w:szCs w:val="21"/>
        </w:rPr>
        <w:t xml:space="preserve"> (a simple </w:t>
      </w:r>
      <w:r>
        <w:rPr>
          <w:rFonts w:ascii="Tenorite" w:cs="Tenorite" w:eastAsia="Tenorite" w:hAnsi="Tenorite"/>
          <w:color w:val="000000"/>
          <w:sz w:val="21"/>
          <w:szCs w:val="21"/>
        </w:rPr>
        <w:t xml:space="preserve">Map&lt;string, ComponentType&gt;</w:t>
      </w:r>
      <w:r>
        <w:rPr>
          <w:rFonts w:ascii="Tenorite" w:cs="Tenorite" w:eastAsia="Tenorite" w:hAnsi="Tenorite"/>
          <w:color w:val="000000"/>
          <w:sz w:val="21"/>
          <w:szCs w:val="21"/>
        </w:rPr>
        <w:t xml:space="preserve">) as a side effect of being imported — </w:t>
      </w:r>
      <w:r>
        <w:rPr>
          <w:rFonts w:ascii="Tenorite" w:cs="Tenorite" w:eastAsia="Tenorite" w:hAnsi="Tenorite"/>
          <w:color w:val="000000"/>
          <w:sz w:val="21"/>
          <w:szCs w:val="21"/>
        </w:rPr>
        <w:t xml:space="preserve">router.tsx</w:t>
      </w:r>
      <w:r>
        <w:rPr>
          <w:rFonts w:ascii="Tenorite" w:cs="Tenorite" w:eastAsia="Tenorite" w:hAnsi="Tenorite"/>
          <w:color w:val="000000"/>
          <w:sz w:val="21"/>
          <w:szCs w:val="21"/>
        </w:rPr>
        <w:t xml:space="preserve"> imports all built modules' </w:t>
      </w:r>
      <w:r>
        <w:rPr>
          <w:rFonts w:ascii="Tenorite" w:cs="Tenorite" w:eastAsia="Tenorite" w:hAnsi="Tenorite"/>
          <w:color w:val="000000"/>
          <w:sz w:val="21"/>
          <w:szCs w:val="21"/>
        </w:rPr>
        <w:t xml:space="preserve">screens/index.tsx</w:t>
      </w:r>
      <w:r>
        <w:rPr>
          <w:rFonts w:ascii="Tenorite" w:cs="Tenorite" w:eastAsia="Tenorite" w:hAnsi="Tenorite"/>
          <w:color w:val="000000"/>
          <w:sz w:val="21"/>
          <w:szCs w:val="21"/>
        </w:rPr>
        <w:t xml:space="preserve"> purely for this side effect, so the router itself never needs to know which screens exist. </w:t>
      </w:r>
      <w:r>
        <w:rPr>
          <w:rFonts w:ascii="Tenorite" w:cs="Tenorite" w:eastAsia="Tenorite" w:hAnsi="Tenorite"/>
          <w:color w:val="000000"/>
          <w:sz w:val="21"/>
          <w:szCs w:val="21"/>
        </w:rPr>
        <w:t xml:space="preserve">ScreenRouteResolver.tsx</w:t>
      </w:r>
      <w:r>
        <w:rPr>
          <w:rFonts w:ascii="Tenorite" w:cs="Tenorite" w:eastAsia="Tenorite" w:hAnsi="Tenorite"/>
          <w:color w:val="000000"/>
          <w:sz w:val="21"/>
          <w:szCs w:val="21"/>
        </w:rPr>
        <w:t xml:space="preserve"> looks up the current screen ID in that registry at render time; if no component is registered, it falls back to </w:t>
      </w:r>
      <w:r>
        <w:rPr>
          <w:rFonts w:ascii="Tenorite" w:cs="Tenorite" w:eastAsia="Tenorite" w:hAnsi="Tenorite"/>
          <w:color w:val="000000"/>
          <w:sz w:val="21"/>
          <w:szCs w:val="21"/>
        </w:rPr>
        <w:t xml:space="preserve">ScreenNotYetBuilt</w:t>
      </w:r>
      <w:r>
        <w:rPr>
          <w:rFonts w:ascii="Tenorite" w:cs="Tenorite" w:eastAsia="Tenorite" w:hAnsi="Tenorite"/>
          <w:color w:val="000000"/>
          <w:sz w:val="21"/>
          <w:szCs w:val="21"/>
        </w:rPr>
        <w:t xml:space="preserve">, an honest placeholder (not a blank 404) that displays the screen's evidenced name, ID, type, and module pulled from </w:t>
      </w:r>
      <w:r>
        <w:rPr>
          <w:rFonts w:ascii="Tenorite" w:cs="Tenorite" w:eastAsia="Tenorite" w:hAnsi="Tenorite"/>
          <w:color w:val="000000"/>
          <w:sz w:val="21"/>
          <w:szCs w:val="21"/>
        </w:rPr>
        <w:t xml:space="preserve">routes.json</w:t>
      </w:r>
      <w:r>
        <w:rPr>
          <w:rFonts w:ascii="Tenorite" w:cs="Tenorite" w:eastAsia="Tenorite" w:hAnsi="Tenorite"/>
          <w:color w:val="000000"/>
          <w:sz w:val="21"/>
          <w:szCs w:val="21"/>
        </w:rPr>
        <w:t xml:space="preserve">, with a note pointing back to </w:t>
      </w:r>
      <w:r>
        <w:rPr>
          <w:rFonts w:ascii="Tenorite" w:cs="Tenorite" w:eastAsia="Tenorite" w:hAnsi="Tenorite"/>
          <w:color w:val="000000"/>
          <w:sz w:val="21"/>
          <w:szCs w:val="21"/>
        </w:rPr>
        <w:t xml:space="preserve">blueprint/screens.md</w:t>
      </w:r>
      <w:r>
        <w:rPr>
          <w:rFonts w:ascii="Tenorite" w:cs="Tenorite" w:eastAsia="Tenorite" w:hAnsi="Tenorite"/>
          <w:color w:val="000000"/>
          <w:sz w:val="21"/>
          <w:szCs w:val="21"/>
        </w:rPr>
        <w:t xml:space="preserve"> for full source detail. </w:t>
      </w:r>
      <w:r>
        <w:rPr>
          <w:rFonts w:ascii="Tenorite" w:cs="Tenorite" w:eastAsia="Tenorite" w:hAnsi="Tenorite"/>
          <w:color w:val="000000"/>
          <w:sz w:val="21"/>
          <w:szCs w:val="21"/>
        </w:rPr>
        <w:t xml:space="preserve">App.tsx</w:t>
      </w:r>
      <w:r>
        <w:rPr>
          <w:rFonts w:ascii="Tenorite" w:cs="Tenorite" w:eastAsia="Tenorite" w:hAnsi="Tenorite"/>
          <w:color w:val="000000"/>
          <w:sz w:val="21"/>
          <w:szCs w:val="21"/>
        </w:rPr>
        <w:t xml:space="preserve"> wraps the routed content in </w:t>
      </w:r>
      <w:r>
        <w:rPr>
          <w:rFonts w:ascii="Tenorite" w:cs="Tenorite" w:eastAsia="Tenorite" w:hAnsi="Tenorite"/>
          <w:color w:val="000000"/>
          <w:sz w:val="21"/>
          <w:szCs w:val="21"/>
        </w:rPr>
        <w:t xml:space="preserve">Sidebar</w:t>
      </w:r>
      <w:r>
        <w:rPr>
          <w:rFonts w:ascii="Tenorite" w:cs="Tenorite" w:eastAsia="Tenorite" w:hAnsi="Tenorite"/>
          <w:color w:val="000000"/>
          <w:sz w:val="21"/>
          <w:szCs w:val="21"/>
        </w:rPr>
        <w:t xml:space="preserve"> (primary nav), </w:t>
      </w:r>
      <w:r>
        <w:rPr>
          <w:rFonts w:ascii="Tenorite" w:cs="Tenorite" w:eastAsia="Tenorite" w:hAnsi="Tenorite"/>
          <w:color w:val="000000"/>
          <w:sz w:val="21"/>
          <w:szCs w:val="21"/>
        </w:rPr>
        <w:t xml:space="preserve">PersonaSwitcher</w:t>
      </w:r>
      <w:r>
        <w:rPr>
          <w:rFonts w:ascii="Tenorite" w:cs="Tenorite" w:eastAsia="Tenorite" w:hAnsi="Tenorite"/>
          <w:color w:val="000000"/>
          <w:sz w:val="21"/>
          <w:szCs w:val="21"/>
        </w:rPr>
        <w:t xml:space="preserve">, </w:t>
      </w:r>
      <w:r>
        <w:rPr>
          <w:rFonts w:ascii="Tenorite" w:cs="Tenorite" w:eastAsia="Tenorite" w:hAnsi="Tenorite"/>
          <w:color w:val="000000"/>
          <w:sz w:val="21"/>
          <w:szCs w:val="21"/>
        </w:rPr>
        <w:t xml:space="preserve">Breadcrumbs</w:t>
      </w:r>
      <w:r>
        <w:rPr>
          <w:rFonts w:ascii="Tenorite" w:cs="Tenorite" w:eastAsia="Tenorite" w:hAnsi="Tenorite"/>
          <w:color w:val="000000"/>
          <w:sz w:val="21"/>
          <w:szCs w:val="21"/>
        </w:rPr>
        <w:t xml:space="preserve">, and a </w:t>
      </w:r>
      <w:r>
        <w:rPr>
          <w:rFonts w:ascii="Tenorite" w:cs="Tenorite" w:eastAsia="Tenorite" w:hAnsi="Tenorite"/>
          <w:color w:val="000000"/>
          <w:sz w:val="21"/>
          <w:szCs w:val="21"/>
        </w:rPr>
        <w:t xml:space="preserve">ToastContainer</w:t>
      </w:r>
      <w:r>
        <w:rPr>
          <w:rFonts w:ascii="Tenorite" w:cs="Tenorite" w:eastAsia="Tenorite" w:hAnsi="Tenorite"/>
          <w:color w:val="000000"/>
          <w:sz w:val="21"/>
          <w:szCs w:val="21"/>
        </w:rPr>
        <w:t xml:space="preserve">, with an </w:t>
      </w:r>
      <w:r>
        <w:rPr>
          <w:rFonts w:ascii="Tenorite" w:cs="Tenorite" w:eastAsia="Tenorite" w:hAnsi="Tenorite"/>
          <w:color w:val="000000"/>
          <w:sz w:val="21"/>
          <w:szCs w:val="21"/>
        </w:rPr>
        <w:t xml:space="preserve">ErrorBoundary</w:t>
      </w:r>
      <w:r>
        <w:rPr>
          <w:rFonts w:ascii="Tenorite" w:cs="Tenorite" w:eastAsia="Tenorite" w:hAnsi="Tenorite"/>
          <w:color w:val="000000"/>
          <w:sz w:val="21"/>
          <w:szCs w:val="21"/>
        </w:rPr>
        <w:t xml:space="preserve"> around the router output.</w:t>
      </w:r>
    </w:p>
    <w:p>
      <w:pPr>
        <w:pStyle w:val="Heading2"/>
        <w:spacing w:after="120" w:before="260"/>
      </w:pPr>
      <w:r>
        <w:t xml:space="preserve">How much of the 213-screen/16-module blueprint is actually built</w:t>
      </w:r>
    </w:p>
    <w:p>
      <w:pPr>
        <w:spacing w:after="160" w:line="300"/>
      </w:pPr>
      <w:r>
        <w:rPr>
          <w:rFonts w:ascii="Tenorite" w:cs="Tenorite" w:eastAsia="Tenorite" w:hAnsi="Tenorite"/>
          <w:color w:val="000000"/>
          <w:sz w:val="21"/>
          <w:szCs w:val="21"/>
        </w:rPr>
        <w:t xml:space="preserve">The blueprint's target scope is 213 screens across 16 modules. What's actually implemented as working UI is substantially smaller:</w:t>
      </w:r>
    </w:p>
    <w:p>
      <w:pPr>
        <w:pStyle w:val="ListParagraph"/>
        <w:numPr>
          <w:ilvl w:val="0"/>
          <w:numId w:val="1"/>
        </w:numPr>
        <w:spacing w:after="80"/>
      </w:pPr>
      <w:r>
        <w:rPr>
          <w:rFonts w:ascii="Tenorite" w:cs="Tenorite" w:eastAsia="Tenorite" w:hAnsi="Tenorite"/>
          <w:b/>
          <w:bCs/>
          <w:color w:val="000000"/>
          <w:sz w:val="21"/>
          <w:szCs w:val="21"/>
        </w:rPr>
        <w:t xml:space="preserve">12 of the 16 modules</w:t>
      </w:r>
      <w:r>
        <w:rPr>
          <w:rFonts w:ascii="Tenorite" w:cs="Tenorite" w:eastAsia="Tenorite" w:hAnsi="Tenorite"/>
          <w:color w:val="000000"/>
          <w:sz w:val="21"/>
          <w:szCs w:val="21"/>
        </w:rPr>
        <w:t xml:space="preserve"> have a </w:t>
      </w:r>
      <w:r>
        <w:rPr>
          <w:rFonts w:ascii="Tenorite" w:cs="Tenorite" w:eastAsia="Tenorite" w:hAnsi="Tenorite"/>
          <w:color w:val="000000"/>
          <w:sz w:val="21"/>
          <w:szCs w:val="21"/>
        </w:rPr>
        <w:t xml:space="preserve">src/modules/&lt;slug&gt;/screens/</w:t>
      </w:r>
      <w:r>
        <w:rPr>
          <w:rFonts w:ascii="Tenorite" w:cs="Tenorite" w:eastAsia="Tenorite" w:hAnsi="Tenorite"/>
          <w:color w:val="000000"/>
          <w:sz w:val="21"/>
          <w:szCs w:val="21"/>
        </w:rPr>
        <w:t xml:space="preserve"> folder at all: Lead Management, Mobile Prepaid, Mobile Postpaid, Pre-to-Post Migration, MNP/FNP Porting, Fixed Line/Fibre, FWA/5G Home, Enterprise/IoT/B2B, Order Management, Identity &amp; Customer Management, SIM &amp; Number Management, and Trouble Ticketing &amp; Complaints. </w:t>
      </w:r>
      <w:r>
        <w:rPr>
          <w:rFonts w:ascii="Tenorite" w:cs="Tenorite" w:eastAsia="Tenorite" w:hAnsi="Tenorite"/>
          <w:b/>
          <w:bCs/>
          <w:color w:val="000000"/>
          <w:sz w:val="21"/>
          <w:szCs w:val="21"/>
        </w:rPr>
        <w:t xml:space="preserve">4 modules have no built screens at all</w:t>
      </w:r>
      <w:r>
        <w:rPr>
          <w:rFonts w:ascii="Tenorite" w:cs="Tenorite" w:eastAsia="Tenorite" w:hAnsi="Tenorite"/>
          <w:color w:val="000000"/>
          <w:sz w:val="21"/>
          <w:szCs w:val="21"/>
        </w:rPr>
        <w:t xml:space="preserve">: Billing &amp; Adjustments, Access/Roles &amp; Approval Governance, CAF/Attachments &amp; Forms, and Platform Governance &amp; Architecture — consistent with </w:t>
      </w:r>
      <w:r>
        <w:rPr>
          <w:rFonts w:ascii="Tenorite" w:cs="Tenorite" w:eastAsia="Tenorite" w:hAnsi="Tenorite"/>
          <w:color w:val="000000"/>
          <w:sz w:val="21"/>
          <w:szCs w:val="21"/>
        </w:rPr>
        <w:t xml:space="preserve">frontend-architecture.md</w:t>
      </w:r>
      <w:r>
        <w:rPr>
          <w:rFonts w:ascii="Tenorite" w:cs="Tenorite" w:eastAsia="Tenorite" w:hAnsi="Tenorite"/>
          <w:color w:val="000000"/>
          <w:sz w:val="21"/>
          <w:szCs w:val="21"/>
        </w:rPr>
        <w:t xml:space="preserve">'s own build-sequencing note that these were the "Missing"/"High Risk" categories to defer.</w:t>
      </w:r>
    </w:p>
    <w:p>
      <w:pPr>
        <w:pStyle w:val="ListParagraph"/>
        <w:numPr>
          <w:ilvl w:val="0"/>
          <w:numId w:val="1"/>
        </w:numPr>
        <w:spacing w:after="80"/>
      </w:pPr>
      <w:r>
        <w:rPr>
          <w:rFonts w:ascii="Tenorite" w:cs="Tenorite" w:eastAsia="Tenorite" w:hAnsi="Tenorite"/>
          <w:color w:val="000000"/>
          <w:sz w:val="21"/>
          <w:szCs w:val="21"/>
        </w:rPr>
        <w:t xml:space="preserve">Within the 12 built modules, a direct count of </w:t>
      </w:r>
      <w:r>
        <w:rPr>
          <w:rFonts w:ascii="Tenorite" w:cs="Tenorite" w:eastAsia="Tenorite" w:hAnsi="Tenorite"/>
          <w:color w:val="000000"/>
          <w:sz w:val="21"/>
          <w:szCs w:val="21"/>
        </w:rPr>
        <w:t xml:space="preserve">registerScreen(...)</w:t>
      </w:r>
      <w:r>
        <w:rPr>
          <w:rFonts w:ascii="Tenorite" w:cs="Tenorite" w:eastAsia="Tenorite" w:hAnsi="Tenorite"/>
          <w:color w:val="000000"/>
          <w:sz w:val="21"/>
          <w:szCs w:val="21"/>
        </w:rPr>
        <w:t xml:space="preserve"> calls across each module's </w:t>
      </w:r>
      <w:r>
        <w:rPr>
          <w:rFonts w:ascii="Tenorite" w:cs="Tenorite" w:eastAsia="Tenorite" w:hAnsi="Tenorite"/>
          <w:color w:val="000000"/>
          <w:sz w:val="21"/>
          <w:szCs w:val="21"/>
        </w:rPr>
        <w:t xml:space="preserve">screens/index.tsx</w:t>
      </w:r>
      <w:r>
        <w:rPr>
          <w:rFonts w:ascii="Tenorite" w:cs="Tenorite" w:eastAsia="Tenorite" w:hAnsi="Tenorite"/>
          <w:color w:val="000000"/>
          <w:sz w:val="21"/>
          <w:szCs w:val="21"/>
        </w:rPr>
        <w:t xml:space="preserve"> totals </w:t>
      </w:r>
      <w:r>
        <w:rPr>
          <w:rFonts w:ascii="Tenorite" w:cs="Tenorite" w:eastAsia="Tenorite" w:hAnsi="Tenorite"/>
          <w:b/>
          <w:bCs/>
          <w:color w:val="000000"/>
          <w:sz w:val="21"/>
          <w:szCs w:val="21"/>
        </w:rPr>
        <w:t xml:space="preserve">70 registered screens</w:t>
      </w:r>
      <w:r>
        <w:rPr>
          <w:rFonts w:ascii="Tenorite" w:cs="Tenorite" w:eastAsia="Tenorite" w:hAnsi="Tenorite"/>
          <w:color w:val="000000"/>
          <w:sz w:val="21"/>
          <w:szCs w:val="21"/>
        </w:rPr>
        <w:t xml:space="preserve"> — roughly a third of the 213-screen blueprint. Per-module counts range widely, e.g. Fixed Line/Fibre (7), FWA/5G Home (9), Lead Management (11), Mobile Postpaid (11), Pre-to-Post Migration (6), down to Order Management and MNP/FNP Porting (1-2 each).</w:t>
      </w:r>
    </w:p>
    <w:p>
      <w:pPr>
        <w:pStyle w:val="ListParagraph"/>
        <w:numPr>
          <w:ilvl w:val="0"/>
          <w:numId w:val="1"/>
        </w:numPr>
        <w:spacing w:after="80"/>
      </w:pPr>
      <w:r>
        <w:rPr>
          <w:rFonts w:ascii="Tenorite" w:cs="Tenorite" w:eastAsia="Tenorite" w:hAnsi="Tenorite"/>
          <w:color w:val="000000"/>
          <w:sz w:val="21"/>
          <w:szCs w:val="21"/>
        </w:rPr>
        <w:t xml:space="preserve">The gap is handled honestly rather than silently: </w:t>
      </w:r>
      <w:r>
        <w:rPr>
          <w:rFonts w:ascii="Tenorite" w:cs="Tenorite" w:eastAsia="Tenorite" w:hAnsi="Tenorite"/>
          <w:color w:val="000000"/>
          <w:sz w:val="21"/>
          <w:szCs w:val="21"/>
        </w:rPr>
        <w:t xml:space="preserve">screenRegistry.ts</w:t>
      </w:r>
      <w:r>
        <w:rPr>
          <w:rFonts w:ascii="Tenorite" w:cs="Tenorite" w:eastAsia="Tenorite" w:hAnsi="Tenorite"/>
          <w:color w:val="000000"/>
          <w:sz w:val="21"/>
          <w:szCs w:val="21"/>
        </w:rPr>
        <w:t xml:space="preserve"> and </w:t>
      </w:r>
      <w:r>
        <w:rPr>
          <w:rFonts w:ascii="Tenorite" w:cs="Tenorite" w:eastAsia="Tenorite" w:hAnsi="Tenorite"/>
          <w:color w:val="000000"/>
          <w:sz w:val="21"/>
          <w:szCs w:val="21"/>
        </w:rPr>
        <w:t xml:space="preserve">ScreenNotYetBuilt.tsx</w:t>
      </w:r>
      <w:r>
        <w:rPr>
          <w:rFonts w:ascii="Tenorite" w:cs="Tenorite" w:eastAsia="Tenorite" w:hAnsi="Tenorite"/>
          <w:color w:val="000000"/>
          <w:sz w:val="21"/>
          <w:szCs w:val="21"/>
        </w:rPr>
        <w:t xml:space="preserve"> confirm a deliberate "not yet built" placeholder pattern exists. Any route in </w:t>
      </w:r>
      <w:r>
        <w:rPr>
          <w:rFonts w:ascii="Tenorite" w:cs="Tenorite" w:eastAsia="Tenorite" w:hAnsi="Tenorite"/>
          <w:color w:val="000000"/>
          <w:sz w:val="21"/>
          <w:szCs w:val="21"/>
        </w:rPr>
        <w:t xml:space="preserve">routes.json</w:t>
      </w:r>
      <w:r>
        <w:rPr>
          <w:rFonts w:ascii="Tenorite" w:cs="Tenorite" w:eastAsia="Tenorite" w:hAnsi="Tenorite"/>
          <w:color w:val="000000"/>
          <w:sz w:val="21"/>
          <w:szCs w:val="21"/>
        </w:rPr>
        <w:t xml:space="preserve"> (213 entries) that resolves to a screen ID not present in the registry renders </w:t>
      </w:r>
      <w:r>
        <w:rPr>
          <w:rFonts w:ascii="Tenorite" w:cs="Tenorite" w:eastAsia="Tenorite" w:hAnsi="Tenorite"/>
          <w:color w:val="000000"/>
          <w:sz w:val="21"/>
          <w:szCs w:val="21"/>
        </w:rPr>
        <w:t xml:space="preserve">ScreenNotYetBuilt</w:t>
      </w:r>
      <w:r>
        <w:rPr>
          <w:rFonts w:ascii="Tenorite" w:cs="Tenorite" w:eastAsia="Tenorite" w:hAnsi="Tenorite"/>
          <w:color w:val="000000"/>
          <w:sz w:val="21"/>
          <w:szCs w:val="21"/>
        </w:rPr>
        <w:t xml:space="preserve"> instead of erroring or faking content — it surfaces the screen's evidenced name/ID/type/module and cites where in the blueprint corpus to find full detail, explicitly framed (in a code comment) around the project's "never silently invent a screen's behavior" evidence policy.</w:t>
      </w:r>
    </w:p>
    <w:p>
      <w:pPr>
        <w:spacing w:after="160" w:line="300"/>
      </w:pPr>
      <w:r>
        <w:rPr>
          <w:rFonts w:ascii="Tenorite" w:cs="Tenorite" w:eastAsia="Tenorite" w:hAnsi="Tenorite"/>
          <w:color w:val="000000"/>
          <w:sz w:val="21"/>
          <w:szCs w:val="21"/>
        </w:rPr>
        <w:t xml:space="preserve">In short: this is a working reference application with a real, config-driven architecture and roughly a third of the full target screen surface built out with functioning UI (concentrated in the "Fully Defined" and richer "Partially Defined" modules per the build-sequencing plan), while the remainder is routed and traceable back to source evidence but intentionally left as placeholders rather than guessed-at implementations.</w:t>
      </w:r>
    </w:p>
    <w:p>
      <w:pPr>
        <w:pStyle w:val="Heading1"/>
        <w:spacing w:after="160" w:before="320"/>
      </w:pPr>
      <w:r>
        <w:t xml:space="preserve">Glossary</w:t>
      </w:r>
    </w:p>
    <w:p>
      <w:pPr>
        <w:spacing w:after="160" w:line="300"/>
      </w:pPr>
      <w:r>
        <w:rPr>
          <w:rFonts w:ascii="Tenorite" w:cs="Tenorite" w:eastAsia="Tenorite" w:hAnsi="Tenorite"/>
          <w:b/>
          <w:bCs/>
          <w:color w:val="000000"/>
          <w:sz w:val="21"/>
          <w:szCs w:val="21"/>
        </w:rPr>
        <w:t xml:space="preserve">APN (Access Point Name)</w:t>
      </w:r>
      <w:r>
        <w:rPr>
          <w:rFonts w:ascii="Tenorite" w:cs="Tenorite" w:eastAsia="Tenorite" w:hAnsi="Tenorite"/>
          <w:color w:val="000000"/>
          <w:sz w:val="21"/>
          <w:szCs w:val="21"/>
        </w:rPr>
        <w:t xml:space="preserve"> — The network gateway setting a mobile device uses to connect to the carrier's data network; referenced as a configurable entity (ENT-074) in enterprise/IoT contexts. </w:t>
      </w:r>
      <w:r>
        <w:rPr>
          <w:rFonts w:ascii="Tenorite" w:cs="Tenorite" w:eastAsia="Tenorite" w:hAnsi="Tenorite"/>
          <w:i/>
          <w:iCs/>
          <w:color w:val="000000"/>
          <w:sz w:val="21"/>
          <w:szCs w:val="21"/>
        </w:rPr>
        <w:t xml:space="preserve">Source: domain-model.md</w:t>
      </w:r>
    </w:p>
    <w:p>
      <w:pPr>
        <w:spacing w:after="160" w:line="300"/>
      </w:pPr>
      <w:r>
        <w:rPr>
          <w:rFonts w:ascii="Tenorite" w:cs="Tenorite" w:eastAsia="Tenorite" w:hAnsi="Tenorite"/>
          <w:b/>
          <w:bCs/>
          <w:color w:val="000000"/>
          <w:sz w:val="21"/>
          <w:szCs w:val="21"/>
        </w:rPr>
        <w:t xml:space="preserve">Assumed</w:t>
      </w:r>
      <w:r>
        <w:rPr>
          <w:rFonts w:ascii="Tenorite" w:cs="Tenorite" w:eastAsia="Tenorite" w:hAnsi="Tenorite"/>
          <w:color w:val="000000"/>
          <w:sz w:val="21"/>
          <w:szCs w:val="21"/>
        </w:rPr>
        <w:t xml:space="preserve"> — The blueprint's lowest-confidence classification tier: content with no direct evidence in the source corpus, proposed as a reasonable starting default the team should confirm or override. </w:t>
      </w:r>
      <w:r>
        <w:rPr>
          <w:rFonts w:ascii="Tenorite" w:cs="Tenorite" w:eastAsia="Tenorite" w:hAnsi="Tenorite"/>
          <w:i/>
          <w:iCs/>
          <w:color w:val="000000"/>
          <w:sz w:val="21"/>
          <w:szCs w:val="21"/>
        </w:rPr>
        <w:t xml:space="preserve">Source: frontend-architecture.md</w:t>
      </w:r>
    </w:p>
    <w:p>
      <w:pPr>
        <w:spacing w:after="160" w:line="300"/>
      </w:pPr>
      <w:r>
        <w:rPr>
          <w:rFonts w:ascii="Tenorite" w:cs="Tenorite" w:eastAsia="Tenorite" w:hAnsi="Tenorite"/>
          <w:b/>
          <w:bCs/>
          <w:color w:val="000000"/>
          <w:sz w:val="21"/>
          <w:szCs w:val="21"/>
        </w:rPr>
        <w:t xml:space="preserve">B2B2C</w:t>
      </w:r>
      <w:r>
        <w:rPr>
          <w:rFonts w:ascii="Tenorite" w:cs="Tenorite" w:eastAsia="Tenorite" w:hAnsi="Tenorite"/>
          <w:color w:val="000000"/>
          <w:sz w:val="21"/>
          <w:szCs w:val="21"/>
        </w:rPr>
        <w:t xml:space="preserve"> — "Business-to-Business-to-Consumer," a distribution model where Vodafone sells through an intermediary employer/company to reach individual consumer subscribers, common in enterprise-sponsored mobile lines.</w:t>
      </w:r>
    </w:p>
    <w:p>
      <w:pPr>
        <w:spacing w:after="160" w:line="300"/>
      </w:pPr>
      <w:r>
        <w:rPr>
          <w:rFonts w:ascii="Tenorite" w:cs="Tenorite" w:eastAsia="Tenorite" w:hAnsi="Tenorite"/>
          <w:b/>
          <w:bCs/>
          <w:color w:val="000000"/>
          <w:sz w:val="21"/>
          <w:szCs w:val="21"/>
        </w:rPr>
        <w:t xml:space="preserve">Bill Limit</w:t>
      </w:r>
      <w:r>
        <w:rPr>
          <w:rFonts w:ascii="Tenorite" w:cs="Tenorite" w:eastAsia="Tenorite" w:hAnsi="Tenorite"/>
          <w:color w:val="000000"/>
          <w:sz w:val="21"/>
          <w:szCs w:val="21"/>
        </w:rPr>
        <w:t xml:space="preserve"> — A configurable spending cap on a line/plan that agents can edit within pre-approved value ranges; validated against the account's Credit Limit and an "Agent Minimum" guardrail threshold. </w:t>
      </w:r>
      <w:r>
        <w:rPr>
          <w:rFonts w:ascii="Tenorite" w:cs="Tenorite" w:eastAsia="Tenorite" w:hAnsi="Tenorite"/>
          <w:i/>
          <w:iCs/>
          <w:color w:val="000000"/>
          <w:sz w:val="21"/>
          <w:szCs w:val="21"/>
        </w:rPr>
        <w:t xml:space="preserve">Source: reusable-patterns.md (Pattern 8), frontend-architecture.md §5</w:t>
      </w:r>
    </w:p>
    <w:p>
      <w:pPr>
        <w:spacing w:after="160" w:line="300"/>
      </w:pPr>
      <w:r>
        <w:rPr>
          <w:rFonts w:ascii="Tenorite" w:cs="Tenorite" w:eastAsia="Tenorite" w:hAnsi="Tenorite"/>
          <w:b/>
          <w:bCs/>
          <w:color w:val="000000"/>
          <w:sz w:val="21"/>
          <w:szCs w:val="21"/>
        </w:rPr>
        <w:t xml:space="preserve">BR-xxx</w:t>
      </w:r>
      <w:r>
        <w:rPr>
          <w:rFonts w:ascii="Tenorite" w:cs="Tenorite" w:eastAsia="Tenorite" w:hAnsi="Tenorite"/>
          <w:color w:val="000000"/>
          <w:sz w:val="21"/>
          <w:szCs w:val="21"/>
        </w:rPr>
        <w:t xml:space="preserve"> — ID scheme prefix for a business rule in the 346-entry business-rule catalogue (</w:t>
      </w:r>
      <w:r>
        <w:rPr>
          <w:rFonts w:ascii="Tenorite" w:cs="Tenorite" w:eastAsia="Tenorite" w:hAnsi="Tenorite"/>
          <w:color w:val="000000"/>
          <w:sz w:val="21"/>
          <w:szCs w:val="21"/>
        </w:rPr>
        <w:t xml:space="preserve">business-rules.md</w:t>
      </w:r>
      <w:r>
        <w:rPr>
          <w:rFonts w:ascii="Tenorite" w:cs="Tenorite" w:eastAsia="Tenorite" w:hAnsi="Tenorite"/>
          <w:color w:val="000000"/>
          <w:sz w:val="21"/>
          <w:szCs w:val="21"/>
        </w:rPr>
        <w:t xml:space="preserve">), e.g. BR-001 (Fibre 12-month lock-in disconnection fee).</w:t>
      </w:r>
    </w:p>
    <w:p>
      <w:pPr>
        <w:spacing w:after="160" w:line="300"/>
      </w:pPr>
      <w:r>
        <w:rPr>
          <w:rFonts w:ascii="Tenorite" w:cs="Tenorite" w:eastAsia="Tenorite" w:hAnsi="Tenorite"/>
          <w:b/>
          <w:bCs/>
          <w:color w:val="000000"/>
          <w:sz w:val="21"/>
          <w:szCs w:val="21"/>
        </w:rPr>
        <w:t xml:space="preserve">BRSD</w:t>
      </w:r>
      <w:r>
        <w:rPr>
          <w:rFonts w:ascii="Tenorite" w:cs="Tenorite" w:eastAsia="Tenorite" w:hAnsi="Tenorite"/>
          <w:color w:val="000000"/>
          <w:sz w:val="21"/>
          <w:szCs w:val="21"/>
        </w:rPr>
        <w:t xml:space="preserve"> — Business Requirements Specification Document; the primary source-document type the blueprint's requirements were extracted from.</w:t>
      </w:r>
    </w:p>
    <w:p>
      <w:pPr>
        <w:spacing w:after="160" w:line="300"/>
      </w:pPr>
      <w:r>
        <w:rPr>
          <w:rFonts w:ascii="Tenorite" w:cs="Tenorite" w:eastAsia="Tenorite" w:hAnsi="Tenorite"/>
          <w:b/>
          <w:bCs/>
          <w:color w:val="000000"/>
          <w:sz w:val="21"/>
          <w:szCs w:val="21"/>
        </w:rPr>
        <w:t xml:space="preserve">CAF (Customer Application Form)</w:t>
      </w:r>
      <w:r>
        <w:rPr>
          <w:rFonts w:ascii="Tenorite" w:cs="Tenorite" w:eastAsia="Tenorite" w:hAnsi="Tenorite"/>
          <w:color w:val="000000"/>
          <w:sz w:val="21"/>
          <w:szCs w:val="21"/>
        </w:rPr>
        <w:t xml:space="preserve"> — The contract/application document (digital, manual, or touch-screen) a customer signs to activate or change service; captured via a signature-pad pattern reused across postpaid, MNP, and passport-to-QID flows (ENT-025). </w:t>
      </w:r>
      <w:r>
        <w:rPr>
          <w:rFonts w:ascii="Tenorite" w:cs="Tenorite" w:eastAsia="Tenorite" w:hAnsi="Tenorite"/>
          <w:i/>
          <w:iCs/>
          <w:color w:val="000000"/>
          <w:sz w:val="21"/>
          <w:szCs w:val="21"/>
        </w:rPr>
        <w:t xml:space="preserve">Source: reusable-patterns.md (Pattern 6), domain-model.md</w:t>
      </w:r>
    </w:p>
    <w:p>
      <w:pPr>
        <w:spacing w:after="160" w:line="300"/>
      </w:pPr>
      <w:r>
        <w:rPr>
          <w:rFonts w:ascii="Tenorite" w:cs="Tenorite" w:eastAsia="Tenorite" w:hAnsi="Tenorite"/>
          <w:b/>
          <w:bCs/>
          <w:color w:val="000000"/>
          <w:sz w:val="21"/>
          <w:szCs w:val="21"/>
        </w:rPr>
        <w:t xml:space="preserve">CBU</w:t>
      </w:r>
      <w:r>
        <w:rPr>
          <w:rFonts w:ascii="Tenorite" w:cs="Tenorite" w:eastAsia="Tenorite" w:hAnsi="Tenorite"/>
          <w:color w:val="000000"/>
          <w:sz w:val="21"/>
          <w:szCs w:val="21"/>
        </w:rPr>
        <w:t xml:space="preserve"> — Consumer Business Unit; the retail/individual-subscriber side of Vodafone Qatar's operations, as distinct from EBU.</w:t>
      </w:r>
    </w:p>
    <w:p>
      <w:pPr>
        <w:spacing w:after="160" w:line="300"/>
      </w:pPr>
      <w:r>
        <w:rPr>
          <w:rFonts w:ascii="Tenorite" w:cs="Tenorite" w:eastAsia="Tenorite" w:hAnsi="Tenorite"/>
          <w:b/>
          <w:bCs/>
          <w:color w:val="000000"/>
          <w:sz w:val="21"/>
          <w:szCs w:val="21"/>
        </w:rPr>
        <w:t xml:space="preserve">CRM</w:t>
      </w:r>
      <w:r>
        <w:rPr>
          <w:rFonts w:ascii="Tenorite" w:cs="Tenorite" w:eastAsia="Tenorite" w:hAnsi="Tenorite"/>
          <w:color w:val="000000"/>
          <w:sz w:val="21"/>
          <w:szCs w:val="21"/>
        </w:rPr>
        <w:t xml:space="preserve"> — Customer Relationship Management; the system/discipline for tracking customer accounts, orders, interactions, and service history — the functional domain this entire reconstruction targets.</w:t>
      </w:r>
    </w:p>
    <w:p>
      <w:pPr>
        <w:spacing w:after="160" w:line="300"/>
      </w:pPr>
      <w:r>
        <w:rPr>
          <w:rFonts w:ascii="Tenorite" w:cs="Tenorite" w:eastAsia="Tenorite" w:hAnsi="Tenorite"/>
          <w:b/>
          <w:bCs/>
          <w:color w:val="000000"/>
          <w:sz w:val="21"/>
          <w:szCs w:val="21"/>
        </w:rPr>
        <w:t xml:space="preserve">CVM</w:t>
      </w:r>
      <w:r>
        <w:rPr>
          <w:rFonts w:ascii="Tenorite" w:cs="Tenorite" w:eastAsia="Tenorite" w:hAnsi="Tenorite"/>
          <w:color w:val="000000"/>
          <w:sz w:val="21"/>
          <w:szCs w:val="21"/>
        </w:rPr>
        <w:t xml:space="preserve"> — Customer Value Management; marketing/retention discipline concerned with offers, campaigns, and next-best-action recommendations to customers.</w:t>
      </w:r>
    </w:p>
    <w:p>
      <w:pPr>
        <w:spacing w:after="160" w:line="300"/>
      </w:pPr>
      <w:r>
        <w:rPr>
          <w:rFonts w:ascii="Tenorite" w:cs="Tenorite" w:eastAsia="Tenorite" w:hAnsi="Tenorite"/>
          <w:b/>
          <w:bCs/>
          <w:color w:val="000000"/>
          <w:sz w:val="21"/>
          <w:szCs w:val="21"/>
        </w:rPr>
        <w:t xml:space="preserve">DAPN</w:t>
      </w:r>
      <w:r>
        <w:rPr>
          <w:rFonts w:ascii="Tenorite" w:cs="Tenorite" w:eastAsia="Tenorite" w:hAnsi="Tenorite"/>
          <w:color w:val="000000"/>
          <w:sz w:val="21"/>
          <w:szCs w:val="21"/>
        </w:rPr>
        <w:t xml:space="preserve"> — Dedicated Access Point Name; an enterprise-specific APN configuration used for isolated/private IoT or corporate data traffic.</w:t>
      </w:r>
    </w:p>
    <w:p>
      <w:pPr>
        <w:spacing w:after="160" w:line="300"/>
      </w:pPr>
      <w:r>
        <w:rPr>
          <w:rFonts w:ascii="Tenorite" w:cs="Tenorite" w:eastAsia="Tenorite" w:hAnsi="Tenorite"/>
          <w:b/>
          <w:bCs/>
          <w:color w:val="000000"/>
          <w:sz w:val="21"/>
          <w:szCs w:val="21"/>
        </w:rPr>
        <w:t xml:space="preserve">Deposit Bundle</w:t>
      </w:r>
      <w:r>
        <w:rPr>
          <w:rFonts w:ascii="Tenorite" w:cs="Tenorite" w:eastAsia="Tenorite" w:hAnsi="Tenorite"/>
          <w:color w:val="000000"/>
          <w:sz w:val="21"/>
          <w:szCs w:val="21"/>
        </w:rPr>
        <w:t xml:space="preserve"> — A pre-paid deposit tied to a service package, required for certain credit-risk customer segments before activation (ENT-075). </w:t>
      </w:r>
      <w:r>
        <w:rPr>
          <w:rFonts w:ascii="Tenorite" w:cs="Tenorite" w:eastAsia="Tenorite" w:hAnsi="Tenorite"/>
          <w:i/>
          <w:iCs/>
          <w:color w:val="000000"/>
          <w:sz w:val="21"/>
          <w:szCs w:val="21"/>
        </w:rPr>
        <w:t xml:space="preserve">Source: domain-model.md</w:t>
      </w:r>
    </w:p>
    <w:p>
      <w:pPr>
        <w:spacing w:after="160" w:line="300"/>
      </w:pPr>
      <w:r>
        <w:rPr>
          <w:rFonts w:ascii="Tenorite" w:cs="Tenorite" w:eastAsia="Tenorite" w:hAnsi="Tenorite"/>
          <w:b/>
          <w:bCs/>
          <w:color w:val="000000"/>
          <w:sz w:val="21"/>
          <w:szCs w:val="21"/>
        </w:rPr>
        <w:t xml:space="preserve">DXP</w:t>
      </w:r>
      <w:r>
        <w:rPr>
          <w:rFonts w:ascii="Tenorite" w:cs="Tenorite" w:eastAsia="Tenorite" w:hAnsi="Tenorite"/>
          <w:color w:val="000000"/>
          <w:sz w:val="21"/>
          <w:szCs w:val="21"/>
        </w:rPr>
        <w:t xml:space="preserve"> — Digital Experience Platform; the umbrella term for the modernized front-end/CRM stack this whole program is building, replacing the legacy Siebel/Open UI experience.</w:t>
      </w:r>
    </w:p>
    <w:p>
      <w:pPr>
        <w:spacing w:after="160" w:line="300"/>
      </w:pPr>
      <w:r>
        <w:rPr>
          <w:rFonts w:ascii="Tenorite" w:cs="Tenorite" w:eastAsia="Tenorite" w:hAnsi="Tenorite"/>
          <w:b/>
          <w:bCs/>
          <w:color w:val="000000"/>
          <w:sz w:val="21"/>
          <w:szCs w:val="21"/>
        </w:rPr>
        <w:t xml:space="preserve">EBU</w:t>
      </w:r>
      <w:r>
        <w:rPr>
          <w:rFonts w:ascii="Tenorite" w:cs="Tenorite" w:eastAsia="Tenorite" w:hAnsi="Tenorite"/>
          <w:color w:val="000000"/>
          <w:sz w:val="21"/>
          <w:szCs w:val="21"/>
        </w:rPr>
        <w:t xml:space="preserve"> — Enterprise Business Unit; the corporate/B2B side of Vodafone Qatar's operations, as distinct from CBU.</w:t>
      </w:r>
    </w:p>
    <w:p>
      <w:pPr>
        <w:spacing w:after="160" w:line="300"/>
      </w:pPr>
      <w:r>
        <w:rPr>
          <w:rFonts w:ascii="Tenorite" w:cs="Tenorite" w:eastAsia="Tenorite" w:hAnsi="Tenorite"/>
          <w:b/>
          <w:bCs/>
          <w:color w:val="000000"/>
          <w:sz w:val="21"/>
          <w:szCs w:val="21"/>
        </w:rPr>
        <w:t xml:space="preserve">ECR</w:t>
      </w:r>
      <w:r>
        <w:rPr>
          <w:rFonts w:ascii="Tenorite" w:cs="Tenorite" w:eastAsia="Tenorite" w:hAnsi="Tenorite"/>
          <w:color w:val="000000"/>
          <w:sz w:val="21"/>
          <w:szCs w:val="21"/>
        </w:rPr>
        <w:t xml:space="preserve"> — a legacy enterprise/order-management change/entry system in the current stack, explicitly being decommissioned as part of this program.</w:t>
      </w:r>
    </w:p>
    <w:p>
      <w:pPr>
        <w:spacing w:after="160" w:line="300"/>
      </w:pPr>
      <w:r>
        <w:rPr>
          <w:rFonts w:ascii="Tenorite" w:cs="Tenorite" w:eastAsia="Tenorite" w:hAnsi="Tenorite"/>
          <w:b/>
          <w:bCs/>
          <w:color w:val="000000"/>
          <w:sz w:val="21"/>
          <w:szCs w:val="21"/>
        </w:rPr>
        <w:t xml:space="preserve">EDW</w:t>
      </w:r>
      <w:r>
        <w:rPr>
          <w:rFonts w:ascii="Tenorite" w:cs="Tenorite" w:eastAsia="Tenorite" w:hAnsi="Tenorite"/>
          <w:color w:val="000000"/>
          <w:sz w:val="21"/>
          <w:szCs w:val="21"/>
        </w:rPr>
        <w:t xml:space="preserve"> — Enterprise Data Warehouse; the downstream analytics/reporting data store fed by operational systems like CRM/BRM.</w:t>
      </w:r>
    </w:p>
    <w:p>
      <w:pPr>
        <w:spacing w:after="160" w:line="300"/>
      </w:pPr>
      <w:r>
        <w:rPr>
          <w:rFonts w:ascii="Tenorite" w:cs="Tenorite" w:eastAsia="Tenorite" w:hAnsi="Tenorite"/>
          <w:b/>
          <w:bCs/>
          <w:color w:val="000000"/>
          <w:sz w:val="21"/>
          <w:szCs w:val="21"/>
        </w:rPr>
        <w:t xml:space="preserve">Explicit</w:t>
      </w:r>
      <w:r>
        <w:rPr>
          <w:rFonts w:ascii="Tenorite" w:cs="Tenorite" w:eastAsia="Tenorite" w:hAnsi="Tenorite"/>
          <w:color w:val="000000"/>
          <w:sz w:val="21"/>
          <w:szCs w:val="21"/>
        </w:rPr>
        <w:t xml:space="preserve"> — The blueprint's highest classification tier: a fact directly stated/quoted in a source document, as opposed to Inferred or Assumed.</w:t>
      </w:r>
    </w:p>
    <w:p>
      <w:pPr>
        <w:spacing w:after="160" w:line="300"/>
      </w:pPr>
      <w:r>
        <w:rPr>
          <w:rFonts w:ascii="Tenorite" w:cs="Tenorite" w:eastAsia="Tenorite" w:hAnsi="Tenorite"/>
          <w:b/>
          <w:bCs/>
          <w:color w:val="000000"/>
          <w:sz w:val="21"/>
          <w:szCs w:val="21"/>
        </w:rPr>
        <w:t xml:space="preserve">ENT-xxx</w:t>
      </w:r>
      <w:r>
        <w:rPr>
          <w:rFonts w:ascii="Tenorite" w:cs="Tenorite" w:eastAsia="Tenorite" w:hAnsi="Tenorite"/>
          <w:color w:val="000000"/>
          <w:sz w:val="21"/>
          <w:szCs w:val="21"/>
        </w:rPr>
        <w:t xml:space="preserve"> — ID scheme prefix for a domain entity in the 83-entity catalogue (</w:t>
      </w:r>
      <w:r>
        <w:rPr>
          <w:rFonts w:ascii="Tenorite" w:cs="Tenorite" w:eastAsia="Tenorite" w:hAnsi="Tenorite"/>
          <w:color w:val="000000"/>
          <w:sz w:val="21"/>
          <w:szCs w:val="21"/>
        </w:rPr>
        <w:t xml:space="preserve">domain-model.md</w:t>
      </w:r>
      <w:r>
        <w:rPr>
          <w:rFonts w:ascii="Tenorite" w:cs="Tenorite" w:eastAsia="Tenorite" w:hAnsi="Tenorite"/>
          <w:color w:val="000000"/>
          <w:sz w:val="21"/>
          <w:szCs w:val="21"/>
        </w:rPr>
        <w:t xml:space="preserve">), e.g. ENT-006 (Order), ENT-023 (Customer).</w:t>
      </w:r>
    </w:p>
    <w:p>
      <w:pPr>
        <w:spacing w:after="160" w:line="300"/>
      </w:pPr>
      <w:r>
        <w:rPr>
          <w:rFonts w:ascii="Tenorite" w:cs="Tenorite" w:eastAsia="Tenorite" w:hAnsi="Tenorite"/>
          <w:b/>
          <w:bCs/>
          <w:color w:val="000000"/>
          <w:sz w:val="21"/>
          <w:szCs w:val="21"/>
        </w:rPr>
        <w:t xml:space="preserve">FLD-xxx</w:t>
      </w:r>
      <w:r>
        <w:rPr>
          <w:rFonts w:ascii="Tenorite" w:cs="Tenorite" w:eastAsia="Tenorite" w:hAnsi="Tenorite"/>
          <w:color w:val="000000"/>
          <w:sz w:val="21"/>
          <w:szCs w:val="21"/>
        </w:rPr>
        <w:t xml:space="preserve"> — ID scheme prefix for an individual data field in the field-inventory catalogue (970+ fields total), each carrying its own validation rule/error message where evidenced.</w:t>
      </w:r>
    </w:p>
    <w:p>
      <w:pPr>
        <w:spacing w:after="160" w:line="300"/>
      </w:pPr>
      <w:r>
        <w:rPr>
          <w:rFonts w:ascii="Tenorite" w:cs="Tenorite" w:eastAsia="Tenorite" w:hAnsi="Tenorite"/>
          <w:b/>
          <w:bCs/>
          <w:color w:val="000000"/>
          <w:sz w:val="21"/>
          <w:szCs w:val="21"/>
        </w:rPr>
        <w:t xml:space="preserve">FNP</w:t>
      </w:r>
      <w:r>
        <w:rPr>
          <w:rFonts w:ascii="Tenorite" w:cs="Tenorite" w:eastAsia="Tenorite" w:hAnsi="Tenorite"/>
          <w:color w:val="000000"/>
          <w:sz w:val="21"/>
          <w:szCs w:val="21"/>
        </w:rPr>
        <w:t xml:space="preserve"> — Fixed Number Portability; porting a landline/fixed-line number between operators, the fixed-line counterpart to MNP (ENT-014).</w:t>
      </w:r>
    </w:p>
    <w:p>
      <w:pPr>
        <w:spacing w:after="160" w:line="300"/>
      </w:pPr>
      <w:r>
        <w:rPr>
          <w:rFonts w:ascii="Tenorite" w:cs="Tenorite" w:eastAsia="Tenorite" w:hAnsi="Tenorite"/>
          <w:b/>
          <w:bCs/>
          <w:color w:val="000000"/>
          <w:sz w:val="21"/>
          <w:szCs w:val="21"/>
        </w:rPr>
        <w:t xml:space="preserve">FWA</w:t>
      </w:r>
      <w:r>
        <w:rPr>
          <w:rFonts w:ascii="Tenorite" w:cs="Tenorite" w:eastAsia="Tenorite" w:hAnsi="Tenorite"/>
          <w:color w:val="000000"/>
          <w:sz w:val="21"/>
          <w:szCs w:val="21"/>
        </w:rPr>
        <w:t xml:space="preserve"> — Fixed Wireless Access; a home-broadband service delivered over the mobile network instead of fibre/copper, covered by its own module ("FWA/5G Home").</w:t>
      </w:r>
    </w:p>
    <w:p>
      <w:pPr>
        <w:spacing w:after="160" w:line="300"/>
      </w:pPr>
      <w:r>
        <w:rPr>
          <w:rFonts w:ascii="Tenorite" w:cs="Tenorite" w:eastAsia="Tenorite" w:hAnsi="Tenorite"/>
          <w:b/>
          <w:bCs/>
          <w:color w:val="000000"/>
          <w:sz w:val="21"/>
          <w:szCs w:val="21"/>
        </w:rPr>
        <w:t xml:space="preserve">GTM</w:t>
      </w:r>
      <w:r>
        <w:rPr>
          <w:rFonts w:ascii="Tenorite" w:cs="Tenorite" w:eastAsia="Tenorite" w:hAnsi="Tenorite"/>
          <w:color w:val="000000"/>
          <w:sz w:val="21"/>
          <w:szCs w:val="21"/>
        </w:rPr>
        <w:t xml:space="preserve"> — Go-To-Market; used in this corpus specifically for the batch data file feeding address/inventory matching between IMS and UIM.</w:t>
      </w:r>
    </w:p>
    <w:p>
      <w:pPr>
        <w:spacing w:after="160" w:line="300"/>
      </w:pPr>
      <w:r>
        <w:rPr>
          <w:rFonts w:ascii="Tenorite" w:cs="Tenorite" w:eastAsia="Tenorite" w:hAnsi="Tenorite"/>
          <w:b/>
          <w:bCs/>
          <w:color w:val="000000"/>
          <w:sz w:val="21"/>
          <w:szCs w:val="21"/>
        </w:rPr>
        <w:t xml:space="preserve">High/Medium/Low confidence bands</w:t>
      </w:r>
      <w:r>
        <w:rPr>
          <w:rFonts w:ascii="Tenorite" w:cs="Tenorite" w:eastAsia="Tenorite" w:hAnsi="Tenorite"/>
          <w:color w:val="000000"/>
          <w:sz w:val="21"/>
          <w:szCs w:val="21"/>
        </w:rPr>
        <w:t xml:space="preserve"> — The blueprint's evidence-quality rating for any extracted claim: </w:t>
      </w:r>
      <w:r>
        <w:rPr>
          <w:rFonts w:ascii="Tenorite" w:cs="Tenorite" w:eastAsia="Tenorite" w:hAnsi="Tenorite"/>
          <w:color w:val="000000"/>
          <w:sz w:val="21"/>
          <w:szCs w:val="21"/>
        </w:rPr>
        <w:t xml:space="preserve">high</w:t>
      </w:r>
      <w:r>
        <w:rPr>
          <w:rFonts w:ascii="Tenorite" w:cs="Tenorite" w:eastAsia="Tenorite" w:hAnsi="Tenorite"/>
          <w:color w:val="000000"/>
          <w:sz w:val="21"/>
          <w:szCs w:val="21"/>
        </w:rPr>
        <w:t xml:space="preserve"> (strong, often multi-source, direct evidence), </w:t>
      </w:r>
      <w:r>
        <w:rPr>
          <w:rFonts w:ascii="Tenorite" w:cs="Tenorite" w:eastAsia="Tenorite" w:hAnsi="Tenorite"/>
          <w:color w:val="000000"/>
          <w:sz w:val="21"/>
          <w:szCs w:val="21"/>
        </w:rPr>
        <w:t xml:space="preserve">medium</w:t>
      </w:r>
      <w:r>
        <w:rPr>
          <w:rFonts w:ascii="Tenorite" w:cs="Tenorite" w:eastAsia="Tenorite" w:hAnsi="Tenorite"/>
          <w:color w:val="000000"/>
          <w:sz w:val="21"/>
          <w:szCs w:val="21"/>
        </w:rPr>
        <w:t xml:space="preserve"> (some evidence but thinner or less direct), </w:t>
      </w:r>
      <w:r>
        <w:rPr>
          <w:rFonts w:ascii="Tenorite" w:cs="Tenorite" w:eastAsia="Tenorite" w:hAnsi="Tenorite"/>
          <w:color w:val="000000"/>
          <w:sz w:val="21"/>
          <w:szCs w:val="21"/>
        </w:rPr>
        <w:t xml:space="preserve">low</w:t>
      </w:r>
      <w:r>
        <w:rPr>
          <w:rFonts w:ascii="Tenorite" w:cs="Tenorite" w:eastAsia="Tenorite" w:hAnsi="Tenorite"/>
          <w:color w:val="000000"/>
          <w:sz w:val="21"/>
          <w:szCs w:val="21"/>
        </w:rPr>
        <w:t xml:space="preserve"> (weak/inferred, flagged for caution).</w:t>
      </w:r>
    </w:p>
    <w:p>
      <w:pPr>
        <w:spacing w:after="160" w:line="300"/>
      </w:pPr>
      <w:r>
        <w:rPr>
          <w:rFonts w:ascii="Tenorite" w:cs="Tenorite" w:eastAsia="Tenorite" w:hAnsi="Tenorite"/>
          <w:b/>
          <w:bCs/>
          <w:color w:val="000000"/>
          <w:sz w:val="21"/>
          <w:szCs w:val="21"/>
        </w:rPr>
        <w:t xml:space="preserve">Home Move</w:t>
      </w:r>
      <w:r>
        <w:rPr>
          <w:rFonts w:ascii="Tenorite" w:cs="Tenorite" w:eastAsia="Tenorite" w:hAnsi="Tenorite"/>
          <w:color w:val="000000"/>
          <w:sz w:val="21"/>
          <w:szCs w:val="21"/>
        </w:rPr>
        <w:t xml:space="preserve"> — A customer journey/case type for relocating an existing fixed-line/fibre service to a new address (ENT-060). </w:t>
      </w:r>
      <w:r>
        <w:rPr>
          <w:rFonts w:ascii="Tenorite" w:cs="Tenorite" w:eastAsia="Tenorite" w:hAnsi="Tenorite"/>
          <w:i/>
          <w:iCs/>
          <w:color w:val="000000"/>
          <w:sz w:val="21"/>
          <w:szCs w:val="21"/>
        </w:rPr>
        <w:t xml:space="preserve">Source: domain-model.md</w:t>
      </w:r>
    </w:p>
    <w:p>
      <w:pPr>
        <w:spacing w:after="160" w:line="300"/>
      </w:pPr>
      <w:r>
        <w:rPr>
          <w:rFonts w:ascii="Tenorite" w:cs="Tenorite" w:eastAsia="Tenorite" w:hAnsi="Tenorite"/>
          <w:b/>
          <w:bCs/>
          <w:color w:val="000000"/>
          <w:sz w:val="21"/>
          <w:szCs w:val="21"/>
        </w:rPr>
        <w:t xml:space="preserve">HRN</w:t>
      </w:r>
      <w:r>
        <w:rPr>
          <w:rFonts w:ascii="Tenorite" w:cs="Tenorite" w:eastAsia="Tenorite" w:hAnsi="Tenorite"/>
          <w:color w:val="000000"/>
          <w:sz w:val="21"/>
          <w:szCs w:val="21"/>
        </w:rPr>
        <w:t xml:space="preserve"> — High-Risk Nationality; a customer risk classification driving lower default credit limits and mandatory advance-payment requirements in activation flows.</w:t>
      </w:r>
    </w:p>
    <w:p>
      <w:pPr>
        <w:spacing w:after="160" w:line="300"/>
      </w:pPr>
      <w:r>
        <w:rPr>
          <w:rFonts w:ascii="Tenorite" w:cs="Tenorite" w:eastAsia="Tenorite" w:hAnsi="Tenorite"/>
          <w:b/>
          <w:bCs/>
          <w:color w:val="000000"/>
          <w:sz w:val="21"/>
          <w:szCs w:val="21"/>
        </w:rPr>
        <w:t xml:space="preserve">IMS</w:t>
      </w:r>
      <w:r>
        <w:rPr>
          <w:rFonts w:ascii="Tenorite" w:cs="Tenorite" w:eastAsia="Tenorite" w:hAnsi="Tenorite"/>
          <w:color w:val="000000"/>
          <w:sz w:val="21"/>
          <w:szCs w:val="21"/>
        </w:rPr>
        <w:t xml:space="preserve"> — Site/address record system (structured as Zone-Street-Building, "ZSB") used for fixed-line/fibre serviceability and installation addressing (ENT-071). </w:t>
      </w:r>
      <w:r>
        <w:rPr>
          <w:rFonts w:ascii="Tenorite" w:cs="Tenorite" w:eastAsia="Tenorite" w:hAnsi="Tenorite"/>
          <w:i/>
          <w:iCs/>
          <w:color w:val="000000"/>
          <w:sz w:val="21"/>
          <w:szCs w:val="21"/>
        </w:rPr>
        <w:t xml:space="preserve">Source: domain-model.md</w:t>
      </w:r>
    </w:p>
    <w:p>
      <w:pPr>
        <w:spacing w:after="160" w:line="300"/>
      </w:pPr>
      <w:r>
        <w:rPr>
          <w:rFonts w:ascii="Tenorite" w:cs="Tenorite" w:eastAsia="Tenorite" w:hAnsi="Tenorite"/>
          <w:b/>
          <w:bCs/>
          <w:color w:val="000000"/>
          <w:sz w:val="21"/>
          <w:szCs w:val="21"/>
        </w:rPr>
        <w:t xml:space="preserve">Inferred</w:t>
      </w:r>
      <w:r>
        <w:rPr>
          <w:rFonts w:ascii="Tenorite" w:cs="Tenorite" w:eastAsia="Tenorite" w:hAnsi="Tenorite"/>
          <w:color w:val="000000"/>
          <w:sz w:val="21"/>
          <w:szCs w:val="21"/>
        </w:rPr>
        <w:t xml:space="preserve"> — The blueprint's middle classification tier: a conclusion generalized from a smaller or more varied evidence base than "Explicit," flagged accordingly.</w:t>
      </w:r>
    </w:p>
    <w:p>
      <w:pPr>
        <w:spacing w:after="160" w:line="300"/>
      </w:pPr>
      <w:r>
        <w:rPr>
          <w:rFonts w:ascii="Tenorite" w:cs="Tenorite" w:eastAsia="Tenorite" w:hAnsi="Tenorite"/>
          <w:b/>
          <w:bCs/>
          <w:color w:val="000000"/>
          <w:sz w:val="21"/>
          <w:szCs w:val="21"/>
        </w:rPr>
        <w:t xml:space="preserve">IoT/M2M</w:t>
      </w:r>
      <w:r>
        <w:rPr>
          <w:rFonts w:ascii="Tenorite" w:cs="Tenorite" w:eastAsia="Tenorite" w:hAnsi="Tenorite"/>
          <w:color w:val="000000"/>
          <w:sz w:val="21"/>
          <w:szCs w:val="21"/>
        </w:rPr>
        <w:t xml:space="preserve"> — Internet of Things / Machine-to-Machine; connectivity services for non-phone devices (sensors, meters, trackers), managed as its own entity type (ENT-011) within the Enterprise/IoT/B2B module.</w:t>
      </w:r>
    </w:p>
    <w:p>
      <w:pPr>
        <w:spacing w:after="160" w:line="300"/>
      </w:pPr>
      <w:r>
        <w:rPr>
          <w:rFonts w:ascii="Tenorite" w:cs="Tenorite" w:eastAsia="Tenorite" w:hAnsi="Tenorite"/>
          <w:b/>
          <w:bCs/>
          <w:color w:val="000000"/>
          <w:sz w:val="21"/>
          <w:szCs w:val="21"/>
        </w:rPr>
        <w:t xml:space="preserve">IPTV</w:t>
      </w:r>
      <w:r>
        <w:rPr>
          <w:rFonts w:ascii="Tenorite" w:cs="Tenorite" w:eastAsia="Tenorite" w:hAnsi="Tenorite"/>
          <w:color w:val="000000"/>
          <w:sz w:val="21"/>
          <w:szCs w:val="21"/>
        </w:rPr>
        <w:t xml:space="preserve"> — Internet Protocol Television; a set-top-box-based TV service bundled with fixed-line/fibre plans (ENT-078). </w:t>
      </w:r>
      <w:r>
        <w:rPr>
          <w:rFonts w:ascii="Tenorite" w:cs="Tenorite" w:eastAsia="Tenorite" w:hAnsi="Tenorite"/>
          <w:i/>
          <w:iCs/>
          <w:color w:val="000000"/>
          <w:sz w:val="21"/>
          <w:szCs w:val="21"/>
        </w:rPr>
        <w:t xml:space="preserve">Source: domain-model.md</w:t>
      </w:r>
    </w:p>
    <w:p>
      <w:pPr>
        <w:spacing w:after="160" w:line="300"/>
      </w:pPr>
      <w:r>
        <w:rPr>
          <w:rFonts w:ascii="Tenorite" w:cs="Tenorite" w:eastAsia="Tenorite" w:hAnsi="Tenorite"/>
          <w:b/>
          <w:bCs/>
          <w:color w:val="000000"/>
          <w:sz w:val="21"/>
          <w:szCs w:val="21"/>
        </w:rPr>
        <w:t xml:space="preserve">KID</w:t>
      </w:r>
      <w:r>
        <w:rPr>
          <w:rFonts w:ascii="Tenorite" w:cs="Tenorite" w:eastAsia="Tenorite" w:hAnsi="Tenorite"/>
          <w:color w:val="000000"/>
          <w:sz w:val="21"/>
          <w:szCs w:val="21"/>
        </w:rPr>
        <w:t xml:space="preserve"> — Kahramaa ID (also "Karama ID"); an identity/service-point reference tied to Qatar's utility provider (Kahramaa), used for fixed-line/address validation distinct from QID (ENT-032). </w:t>
      </w:r>
      <w:r>
        <w:rPr>
          <w:rFonts w:ascii="Tenorite" w:cs="Tenorite" w:eastAsia="Tenorite" w:hAnsi="Tenorite"/>
          <w:i/>
          <w:iCs/>
          <w:color w:val="000000"/>
          <w:sz w:val="21"/>
          <w:szCs w:val="21"/>
        </w:rPr>
        <w:t xml:space="preserve">Source: domain-model.md</w:t>
      </w:r>
    </w:p>
    <w:p>
      <w:pPr>
        <w:spacing w:after="160" w:line="300"/>
      </w:pPr>
      <w:r>
        <w:rPr>
          <w:rFonts w:ascii="Tenorite" w:cs="Tenorite" w:eastAsia="Tenorite" w:hAnsi="Tenorite"/>
          <w:b/>
          <w:bCs/>
          <w:color w:val="000000"/>
          <w:sz w:val="21"/>
          <w:szCs w:val="21"/>
        </w:rPr>
        <w:t xml:space="preserve">Lead</w:t>
      </w:r>
      <w:r>
        <w:rPr>
          <w:rFonts w:ascii="Tenorite" w:cs="Tenorite" w:eastAsia="Tenorite" w:hAnsi="Tenorite"/>
          <w:color w:val="000000"/>
          <w:sz w:val="21"/>
          <w:szCs w:val="21"/>
        </w:rPr>
        <w:t xml:space="preserve"> — A prospective sale captured before it becomes a formal order, tracked through ownership, status, and reassignment workflows (ENT-057). </w:t>
      </w:r>
      <w:r>
        <w:rPr>
          <w:rFonts w:ascii="Tenorite" w:cs="Tenorite" w:eastAsia="Tenorite" w:hAnsi="Tenorite"/>
          <w:i/>
          <w:iCs/>
          <w:color w:val="000000"/>
          <w:sz w:val="21"/>
          <w:szCs w:val="21"/>
        </w:rPr>
        <w:t xml:space="preserve">Source: domain-model.md</w:t>
      </w:r>
    </w:p>
    <w:p>
      <w:pPr>
        <w:spacing w:after="160" w:line="300"/>
      </w:pPr>
      <w:r>
        <w:rPr>
          <w:rFonts w:ascii="Tenorite" w:cs="Tenorite" w:eastAsia="Tenorite" w:hAnsi="Tenorite"/>
          <w:b/>
          <w:bCs/>
          <w:color w:val="000000"/>
          <w:sz w:val="21"/>
          <w:szCs w:val="21"/>
        </w:rPr>
        <w:t xml:space="preserve">MNP</w:t>
      </w:r>
      <w:r>
        <w:rPr>
          <w:rFonts w:ascii="Tenorite" w:cs="Tenorite" w:eastAsia="Tenorite" w:hAnsi="Tenorite"/>
          <w:color w:val="000000"/>
          <w:sz w:val="21"/>
          <w:szCs w:val="21"/>
        </w:rPr>
        <w:t xml:space="preserve"> — Mobile Number Portability; porting a mobile number from another operator into Vodafone Qatar (port-in) or out to a competitor (port-out), each with its own order/ticket entity (ENT-013, ENT-021).</w:t>
      </w:r>
    </w:p>
    <w:p>
      <w:pPr>
        <w:spacing w:after="160" w:line="300"/>
      </w:pPr>
      <w:r>
        <w:rPr>
          <w:rFonts w:ascii="Tenorite" w:cs="Tenorite" w:eastAsia="Tenorite" w:hAnsi="Tenorite"/>
          <w:b/>
          <w:bCs/>
          <w:color w:val="000000"/>
          <w:sz w:val="21"/>
          <w:szCs w:val="21"/>
        </w:rPr>
        <w:t xml:space="preserve">MOI</w:t>
      </w:r>
      <w:r>
        <w:rPr>
          <w:rFonts w:ascii="Tenorite" w:cs="Tenorite" w:eastAsia="Tenorite" w:hAnsi="Tenorite"/>
          <w:color w:val="000000"/>
          <w:sz w:val="21"/>
          <w:szCs w:val="21"/>
        </w:rPr>
        <w:t xml:space="preserve"> — Ministry of Interior (Qatar); the government identity-verification authority whose records are used to validate a scanned QID and auto-fill/lock customer name, DOB, nationality, and address fields during onboarding.</w:t>
      </w:r>
    </w:p>
    <w:p>
      <w:pPr>
        <w:spacing w:after="160" w:line="300"/>
      </w:pPr>
      <w:r>
        <w:rPr>
          <w:rFonts w:ascii="Tenorite" w:cs="Tenorite" w:eastAsia="Tenorite" w:hAnsi="Tenorite"/>
          <w:b/>
          <w:bCs/>
          <w:color w:val="000000"/>
          <w:sz w:val="21"/>
          <w:szCs w:val="21"/>
        </w:rPr>
        <w:t xml:space="preserve">Open UI</w:t>
      </w:r>
      <w:r>
        <w:rPr>
          <w:rFonts w:ascii="Tenorite" w:cs="Tenorite" w:eastAsia="Tenorite" w:hAnsi="Tenorite"/>
          <w:color w:val="000000"/>
          <w:sz w:val="21"/>
          <w:szCs w:val="21"/>
        </w:rPr>
        <w:t xml:space="preserve"> — Siebel's modern web-based UI framework; the legacy interface the DXP program is replacing. All UI evidence in the source corpus is from Open UI screenshots, not target-state design.</w:t>
      </w:r>
    </w:p>
    <w:p>
      <w:pPr>
        <w:spacing w:after="160" w:line="300"/>
      </w:pPr>
      <w:r>
        <w:rPr>
          <w:rFonts w:ascii="Tenorite" w:cs="Tenorite" w:eastAsia="Tenorite" w:hAnsi="Tenorite"/>
          <w:b/>
          <w:bCs/>
          <w:color w:val="000000"/>
          <w:sz w:val="21"/>
          <w:szCs w:val="21"/>
        </w:rPr>
        <w:t xml:space="preserve">Order Approval</w:t>
      </w:r>
      <w:r>
        <w:rPr>
          <w:rFonts w:ascii="Tenorite" w:cs="Tenorite" w:eastAsia="Tenorite" w:hAnsi="Tenorite"/>
          <w:color w:val="000000"/>
          <w:sz w:val="21"/>
          <w:szCs w:val="21"/>
        </w:rPr>
        <w:t xml:space="preserve"> — A manager-facing review step gating certain orders before they proceed, with Approve/Reject-Correction/Reject-Drop Order actions and a dedicated re-entry wizard for corrections. </w:t>
      </w:r>
      <w:r>
        <w:rPr>
          <w:rFonts w:ascii="Tenorite" w:cs="Tenorite" w:eastAsia="Tenorite" w:hAnsi="Tenorite"/>
          <w:i/>
          <w:iCs/>
          <w:color w:val="000000"/>
          <w:sz w:val="21"/>
          <w:szCs w:val="21"/>
        </w:rPr>
        <w:t xml:space="preserve">Source: reusable-patterns.md</w:t>
      </w:r>
    </w:p>
    <w:p>
      <w:pPr>
        <w:spacing w:after="160" w:line="300"/>
      </w:pPr>
      <w:r>
        <w:rPr>
          <w:rFonts w:ascii="Tenorite" w:cs="Tenorite" w:eastAsia="Tenorite" w:hAnsi="Tenorite"/>
          <w:b/>
          <w:bCs/>
          <w:color w:val="000000"/>
          <w:sz w:val="21"/>
          <w:szCs w:val="21"/>
        </w:rPr>
        <w:t xml:space="preserve">Post-to-Pre / Pre-to-Post</w:t>
      </w:r>
      <w:r>
        <w:rPr>
          <w:rFonts w:ascii="Tenorite" w:cs="Tenorite" w:eastAsia="Tenorite" w:hAnsi="Tenorite"/>
          <w:color w:val="000000"/>
          <w:sz w:val="21"/>
          <w:szCs w:val="21"/>
        </w:rPr>
        <w:t xml:space="preserve"> — The two directions of migrating a subscriber's line between postpaid (billed) and prepaid (pay-as-you-go) plans, each with its own eligibility checks.</w:t>
      </w:r>
    </w:p>
    <w:p>
      <w:pPr>
        <w:spacing w:after="160" w:line="300"/>
      </w:pPr>
      <w:r>
        <w:rPr>
          <w:rFonts w:ascii="Tenorite" w:cs="Tenorite" w:eastAsia="Tenorite" w:hAnsi="Tenorite"/>
          <w:b/>
          <w:bCs/>
          <w:color w:val="000000"/>
          <w:sz w:val="21"/>
          <w:szCs w:val="21"/>
        </w:rPr>
        <w:t xml:space="preserve">PTT</w:t>
      </w:r>
      <w:r>
        <w:rPr>
          <w:rFonts w:ascii="Tenorite" w:cs="Tenorite" w:eastAsia="Tenorite" w:hAnsi="Tenorite"/>
          <w:color w:val="000000"/>
          <w:sz w:val="21"/>
          <w:szCs w:val="21"/>
        </w:rPr>
        <w:t xml:space="preserve"> — Push-to-Talk; a walkie-talkie-style instant voice communication service offered as an add-on, primarily to enterprise/logistics customers.</w:t>
      </w:r>
    </w:p>
    <w:p>
      <w:pPr>
        <w:spacing w:after="160" w:line="300"/>
      </w:pPr>
      <w:r>
        <w:rPr>
          <w:rFonts w:ascii="Tenorite" w:cs="Tenorite" w:eastAsia="Tenorite" w:hAnsi="Tenorite"/>
          <w:b/>
          <w:bCs/>
          <w:color w:val="000000"/>
          <w:sz w:val="21"/>
          <w:szCs w:val="21"/>
        </w:rPr>
        <w:t xml:space="preserve">PERSONA-xxx</w:t>
      </w:r>
      <w:r>
        <w:rPr>
          <w:rFonts w:ascii="Tenorite" w:cs="Tenorite" w:eastAsia="Tenorite" w:hAnsi="Tenorite"/>
          <w:color w:val="000000"/>
          <w:sz w:val="21"/>
          <w:szCs w:val="21"/>
        </w:rPr>
        <w:t xml:space="preserve"> — ID scheme prefix for one of the 66 catalogued user personas/roles, used to drive the persona-switcher simulation and RBAC filtering.</w:t>
      </w:r>
    </w:p>
    <w:p>
      <w:pPr>
        <w:spacing w:after="160" w:line="300"/>
      </w:pPr>
      <w:r>
        <w:rPr>
          <w:rFonts w:ascii="Tenorite" w:cs="Tenorite" w:eastAsia="Tenorite" w:hAnsi="Tenorite"/>
          <w:b/>
          <w:bCs/>
          <w:color w:val="000000"/>
          <w:sz w:val="21"/>
          <w:szCs w:val="21"/>
        </w:rPr>
        <w:t xml:space="preserve">QID</w:t>
      </w:r>
      <w:r>
        <w:rPr>
          <w:rFonts w:ascii="Tenorite" w:cs="Tenorite" w:eastAsia="Tenorite" w:hAnsi="Tenorite"/>
          <w:color w:val="000000"/>
          <w:sz w:val="21"/>
          <w:szCs w:val="21"/>
        </w:rPr>
        <w:t xml:space="preserve"> — Qatari (national) Identity card; the primary government-issued ID scanned at the start of nearly every customer-facing journey, validated against MOI records.</w:t>
      </w:r>
    </w:p>
    <w:p>
      <w:pPr>
        <w:spacing w:after="160" w:line="300"/>
      </w:pPr>
      <w:r>
        <w:rPr>
          <w:rFonts w:ascii="Tenorite" w:cs="Tenorite" w:eastAsia="Tenorite" w:hAnsi="Tenorite"/>
          <w:b/>
          <w:bCs/>
          <w:color w:val="000000"/>
          <w:sz w:val="21"/>
          <w:szCs w:val="21"/>
        </w:rPr>
        <w:t xml:space="preserve">QTicket</w:t>
      </w:r>
      <w:r>
        <w:rPr>
          <w:rFonts w:ascii="Tenorite" w:cs="Tenorite" w:eastAsia="Tenorite" w:hAnsi="Tenorite"/>
          <w:color w:val="000000"/>
          <w:sz w:val="21"/>
          <w:szCs w:val="21"/>
        </w:rPr>
        <w:t xml:space="preserve"> — A ticket entity type distinct from a general Trouble Ticket, evidenced in the corpus as its own catalogued entity (ENT-079). </w:t>
      </w:r>
      <w:r>
        <w:rPr>
          <w:rFonts w:ascii="Tenorite" w:cs="Tenorite" w:eastAsia="Tenorite" w:hAnsi="Tenorite"/>
          <w:i/>
          <w:iCs/>
          <w:color w:val="000000"/>
          <w:sz w:val="21"/>
          <w:szCs w:val="21"/>
        </w:rPr>
        <w:t xml:space="preserve">Source: domain-model.md</w:t>
      </w:r>
    </w:p>
    <w:p>
      <w:pPr>
        <w:spacing w:after="160" w:line="300"/>
      </w:pPr>
      <w:r>
        <w:rPr>
          <w:rFonts w:ascii="Tenorite" w:cs="Tenorite" w:eastAsia="Tenorite" w:hAnsi="Tenorite"/>
          <w:b/>
          <w:bCs/>
          <w:color w:val="000000"/>
          <w:sz w:val="21"/>
          <w:szCs w:val="21"/>
        </w:rPr>
        <w:t xml:space="preserve">REQ-xxx</w:t>
      </w:r>
      <w:r>
        <w:rPr>
          <w:rFonts w:ascii="Tenorite" w:cs="Tenorite" w:eastAsia="Tenorite" w:hAnsi="Tenorite"/>
          <w:color w:val="000000"/>
          <w:sz w:val="21"/>
          <w:szCs w:val="21"/>
        </w:rPr>
        <w:t xml:space="preserve"> — ID scheme prefix for one of the 308 extracted business requirements in the blueprint's requirements catalogue.</w:t>
      </w:r>
    </w:p>
    <w:p>
      <w:pPr>
        <w:spacing w:after="160" w:line="300"/>
      </w:pPr>
      <w:r>
        <w:rPr>
          <w:rFonts w:ascii="Tenorite" w:cs="Tenorite" w:eastAsia="Tenorite" w:hAnsi="Tenorite"/>
          <w:b/>
          <w:bCs/>
          <w:color w:val="000000"/>
          <w:sz w:val="21"/>
          <w:szCs w:val="21"/>
        </w:rPr>
        <w:t xml:space="preserve">RFS</w:t>
      </w:r>
      <w:r>
        <w:rPr>
          <w:rFonts w:ascii="Tenorite" w:cs="Tenorite" w:eastAsia="Tenorite" w:hAnsi="Tenorite"/>
          <w:color w:val="000000"/>
          <w:sz w:val="21"/>
          <w:szCs w:val="21"/>
        </w:rPr>
        <w:t xml:space="preserve"> — Ready For Sale; a status/record indicating a product, plan, or service area is approved and available to be sold (ENT-072). </w:t>
      </w:r>
      <w:r>
        <w:rPr>
          <w:rFonts w:ascii="Tenorite" w:cs="Tenorite" w:eastAsia="Tenorite" w:hAnsi="Tenorite"/>
          <w:i/>
          <w:iCs/>
          <w:color w:val="000000"/>
          <w:sz w:val="21"/>
          <w:szCs w:val="21"/>
        </w:rPr>
        <w:t xml:space="preserve">Source: domain-model.md</w:t>
      </w:r>
    </w:p>
    <w:p>
      <w:pPr>
        <w:spacing w:after="160" w:line="300"/>
      </w:pPr>
      <w:r>
        <w:rPr>
          <w:rFonts w:ascii="Tenorite" w:cs="Tenorite" w:eastAsia="Tenorite" w:hAnsi="Tenorite"/>
          <w:b/>
          <w:bCs/>
          <w:color w:val="000000"/>
          <w:sz w:val="21"/>
          <w:szCs w:val="21"/>
        </w:rPr>
        <w:t xml:space="preserve">RPA</w:t>
      </w:r>
      <w:r>
        <w:rPr>
          <w:rFonts w:ascii="Tenorite" w:cs="Tenorite" w:eastAsia="Tenorite" w:hAnsi="Tenorite"/>
          <w:color w:val="000000"/>
          <w:sz w:val="21"/>
          <w:szCs w:val="21"/>
        </w:rPr>
        <w:t xml:space="preserve"> — Robotic Process Automation; scripted automation of manual back-office steps, referenced as a candidate for replacing manual/Excel-based processes.</w:t>
      </w:r>
    </w:p>
    <w:p>
      <w:pPr>
        <w:spacing w:after="160" w:line="300"/>
      </w:pPr>
      <w:r>
        <w:rPr>
          <w:rFonts w:ascii="Tenorite" w:cs="Tenorite" w:eastAsia="Tenorite" w:hAnsi="Tenorite"/>
          <w:b/>
          <w:bCs/>
          <w:color w:val="000000"/>
          <w:sz w:val="21"/>
          <w:szCs w:val="21"/>
        </w:rPr>
        <w:t xml:space="preserve">SCR-xxx</w:t>
      </w:r>
      <w:r>
        <w:rPr>
          <w:rFonts w:ascii="Tenorite" w:cs="Tenorite" w:eastAsia="Tenorite" w:hAnsi="Tenorite"/>
          <w:color w:val="000000"/>
          <w:sz w:val="21"/>
          <w:szCs w:val="21"/>
        </w:rPr>
        <w:t xml:space="preserve"> — ID scheme prefix for one of the 213 catalogued screens (</w:t>
      </w:r>
      <w:r>
        <w:rPr>
          <w:rFonts w:ascii="Tenorite" w:cs="Tenorite" w:eastAsia="Tenorite" w:hAnsi="Tenorite"/>
          <w:color w:val="000000"/>
          <w:sz w:val="21"/>
          <w:szCs w:val="21"/>
        </w:rPr>
        <w:t xml:space="preserve">screens.md</w:t>
      </w:r>
      <w:r>
        <w:rPr>
          <w:rFonts w:ascii="Tenorite" w:cs="Tenorite" w:eastAsia="Tenorite" w:hAnsi="Tenorite"/>
          <w:color w:val="000000"/>
          <w:sz w:val="21"/>
          <w:szCs w:val="21"/>
        </w:rPr>
        <w:t xml:space="preserve">), each with sourced field/behavior detail.</w:t>
      </w:r>
    </w:p>
    <w:p>
      <w:pPr>
        <w:spacing w:after="160" w:line="300"/>
      </w:pPr>
      <w:r>
        <w:rPr>
          <w:rFonts w:ascii="Tenorite" w:cs="Tenorite" w:eastAsia="Tenorite" w:hAnsi="Tenorite"/>
          <w:b/>
          <w:bCs/>
          <w:color w:val="000000"/>
          <w:sz w:val="21"/>
          <w:szCs w:val="21"/>
        </w:rPr>
        <w:t xml:space="preserve">SIM Swap</w:t>
      </w:r>
      <w:r>
        <w:rPr>
          <w:rFonts w:ascii="Tenorite" w:cs="Tenorite" w:eastAsia="Tenorite" w:hAnsi="Tenorite"/>
          <w:color w:val="000000"/>
          <w:sz w:val="21"/>
          <w:szCs w:val="21"/>
        </w:rPr>
        <w:t xml:space="preserve"> — The process of replacing a customer's SIM card while retaining their number, involving OCR/barcode capture, MOI validation, and a CBS (core billing system) update chain (ENT-070). </w:t>
      </w:r>
      <w:r>
        <w:rPr>
          <w:rFonts w:ascii="Tenorite" w:cs="Tenorite" w:eastAsia="Tenorite" w:hAnsi="Tenorite"/>
          <w:i/>
          <w:iCs/>
          <w:color w:val="000000"/>
          <w:sz w:val="21"/>
          <w:szCs w:val="21"/>
        </w:rPr>
        <w:t xml:space="preserve">Source: reusable-patterns.md, domain-model.md</w:t>
      </w:r>
    </w:p>
    <w:p>
      <w:pPr>
        <w:spacing w:after="160" w:line="300"/>
      </w:pPr>
      <w:r>
        <w:rPr>
          <w:rFonts w:ascii="Tenorite" w:cs="Tenorite" w:eastAsia="Tenorite" w:hAnsi="Tenorite"/>
          <w:b/>
          <w:bCs/>
          <w:color w:val="000000"/>
          <w:sz w:val="21"/>
          <w:szCs w:val="21"/>
        </w:rPr>
        <w:t xml:space="preserve">Siebel</w:t>
      </w:r>
      <w:r>
        <w:rPr>
          <w:rFonts w:ascii="Tenorite" w:cs="Tenorite" w:eastAsia="Tenorite" w:hAnsi="Tenorite"/>
          <w:color w:val="000000"/>
          <w:sz w:val="21"/>
          <w:szCs w:val="21"/>
        </w:rPr>
        <w:t xml:space="preserve"> — Oracle's CRM platform; the legacy system currently running Vodafone Qatar's CRM operations, whose Open UI screens make up the entire visual evidence base this blueprint draws on (and which the DXP program replaces).</w:t>
      </w:r>
    </w:p>
    <w:p>
      <w:pPr>
        <w:spacing w:after="160" w:line="300"/>
      </w:pPr>
      <w:r>
        <w:rPr>
          <w:rFonts w:ascii="Tenorite" w:cs="Tenorite" w:eastAsia="Tenorite" w:hAnsi="Tenorite"/>
          <w:b/>
          <w:bCs/>
          <w:color w:val="000000"/>
          <w:sz w:val="21"/>
          <w:szCs w:val="21"/>
        </w:rPr>
        <w:t xml:space="preserve">Star Number</w:t>
      </w:r>
      <w:r>
        <w:rPr>
          <w:rFonts w:ascii="Tenorite" w:cs="Tenorite" w:eastAsia="Tenorite" w:hAnsi="Tenorite"/>
          <w:color w:val="000000"/>
          <w:sz w:val="21"/>
          <w:szCs w:val="21"/>
        </w:rPr>
        <w:t xml:space="preserve"> — A premium/high-value-tier phone number offered at a price premium based on its digit pattern (ENT-058). </w:t>
      </w:r>
      <w:r>
        <w:rPr>
          <w:rFonts w:ascii="Tenorite" w:cs="Tenorite" w:eastAsia="Tenorite" w:hAnsi="Tenorite"/>
          <w:i/>
          <w:iCs/>
          <w:color w:val="000000"/>
          <w:sz w:val="21"/>
          <w:szCs w:val="21"/>
        </w:rPr>
        <w:t xml:space="preserve">Source: domain-model.md</w:t>
      </w:r>
    </w:p>
    <w:p>
      <w:pPr>
        <w:spacing w:after="160" w:line="300"/>
      </w:pPr>
      <w:r>
        <w:rPr>
          <w:rFonts w:ascii="Tenorite" w:cs="Tenorite" w:eastAsia="Tenorite" w:hAnsi="Tenorite"/>
          <w:b/>
          <w:bCs/>
          <w:color w:val="000000"/>
          <w:sz w:val="21"/>
          <w:szCs w:val="21"/>
        </w:rPr>
        <w:t xml:space="preserve">TON</w:t>
      </w:r>
      <w:r>
        <w:rPr>
          <w:rFonts w:ascii="Tenorite" w:cs="Tenorite" w:eastAsia="Tenorite" w:hAnsi="Tenorite"/>
          <w:color w:val="000000"/>
          <w:sz w:val="21"/>
          <w:szCs w:val="21"/>
        </w:rPr>
        <w:t xml:space="preserve"> — Transfer of Ownership (also "Transfer of Number"); the process of reassigning a line/account from one customer to another (ENT-022). </w:t>
      </w:r>
      <w:r>
        <w:rPr>
          <w:rFonts w:ascii="Tenorite" w:cs="Tenorite" w:eastAsia="Tenorite" w:hAnsi="Tenorite"/>
          <w:i/>
          <w:iCs/>
          <w:color w:val="000000"/>
          <w:sz w:val="21"/>
          <w:szCs w:val="21"/>
        </w:rPr>
        <w:t xml:space="preserve">Source: domain-model.md</w:t>
      </w:r>
    </w:p>
    <w:p>
      <w:pPr>
        <w:spacing w:after="160" w:line="300"/>
      </w:pPr>
      <w:r>
        <w:rPr>
          <w:rFonts w:ascii="Tenorite" w:cs="Tenorite" w:eastAsia="Tenorite" w:hAnsi="Tenorite"/>
          <w:b/>
          <w:bCs/>
          <w:color w:val="000000"/>
          <w:sz w:val="21"/>
          <w:szCs w:val="21"/>
        </w:rPr>
        <w:t xml:space="preserve">UIM</w:t>
      </w:r>
      <w:r>
        <w:rPr>
          <w:rFonts w:ascii="Tenorite" w:cs="Tenorite" w:eastAsia="Tenorite" w:hAnsi="Tenorite"/>
          <w:color w:val="000000"/>
          <w:sz w:val="21"/>
          <w:szCs w:val="21"/>
        </w:rPr>
        <w:t xml:space="preserve"> — Universal Inventory Management; the backend inventory system of record for SIMs/CPE, validated against in real time during serial-capture steps (ENT-053). </w:t>
      </w:r>
      <w:r>
        <w:rPr>
          <w:rFonts w:ascii="Tenorite" w:cs="Tenorite" w:eastAsia="Tenorite" w:hAnsi="Tenorite"/>
          <w:i/>
          <w:iCs/>
          <w:color w:val="000000"/>
          <w:sz w:val="21"/>
          <w:szCs w:val="21"/>
        </w:rPr>
        <w:t xml:space="preserve">Source: reusable-patterns.md, domain-model.md</w:t>
      </w:r>
    </w:p>
    <w:p>
      <w:pPr>
        <w:spacing w:after="160" w:line="300"/>
      </w:pPr>
      <w:r>
        <w:rPr>
          <w:rFonts w:ascii="Tenorite" w:cs="Tenorite" w:eastAsia="Tenorite" w:hAnsi="Tenorite"/>
          <w:b/>
          <w:bCs/>
          <w:color w:val="000000"/>
          <w:sz w:val="21"/>
          <w:szCs w:val="21"/>
        </w:rPr>
        <w:t xml:space="preserve">UJ-xxx</w:t>
      </w:r>
      <w:r>
        <w:rPr>
          <w:rFonts w:ascii="Tenorite" w:cs="Tenorite" w:eastAsia="Tenorite" w:hAnsi="Tenorite"/>
          <w:color w:val="000000"/>
          <w:sz w:val="21"/>
          <w:szCs w:val="21"/>
        </w:rPr>
        <w:t xml:space="preserve"> — ID scheme prefix for one of the 111 catalogued user journeys extracted from the corpus.</w:t>
      </w:r>
    </w:p>
    <w:p>
      <w:pPr>
        <w:spacing w:after="160" w:line="300"/>
      </w:pPr>
      <w:r>
        <w:rPr>
          <w:rFonts w:ascii="Tenorite" w:cs="Tenorite" w:eastAsia="Tenorite" w:hAnsi="Tenorite"/>
          <w:b/>
          <w:bCs/>
          <w:color w:val="000000"/>
          <w:sz w:val="21"/>
          <w:szCs w:val="21"/>
        </w:rPr>
        <w:t xml:space="preserve">VAL-xxx</w:t>
      </w:r>
      <w:r>
        <w:rPr>
          <w:rFonts w:ascii="Tenorite" w:cs="Tenorite" w:eastAsia="Tenorite" w:hAnsi="Tenorite"/>
          <w:color w:val="000000"/>
          <w:sz w:val="21"/>
          <w:szCs w:val="21"/>
        </w:rPr>
        <w:t xml:space="preserve"> — ID scheme prefix for one of the 418 catalogued validation rules, each classified with an engine hint and, for many, tied to a specific field's validation rule/error message.</w:t>
      </w:r>
    </w:p>
    <w:p>
      <w:pPr>
        <w:spacing w:after="160" w:line="300"/>
      </w:pPr>
      <w:r>
        <w:rPr>
          <w:rFonts w:ascii="Tenorite" w:cs="Tenorite" w:eastAsia="Tenorite" w:hAnsi="Tenorite"/>
          <w:b/>
          <w:bCs/>
          <w:color w:val="000000"/>
          <w:sz w:val="21"/>
          <w:szCs w:val="21"/>
        </w:rPr>
        <w:t xml:space="preserve">Vodafone ID (VFID)</w:t>
      </w:r>
      <w:r>
        <w:rPr>
          <w:rFonts w:ascii="Tenorite" w:cs="Tenorite" w:eastAsia="Tenorite" w:hAnsi="Tenorite"/>
          <w:color w:val="000000"/>
          <w:sz w:val="21"/>
          <w:szCs w:val="21"/>
        </w:rPr>
        <w:t xml:space="preserve"> — A customer-facing digital identity/account credential distinct from the QID, used for self-service login/authentication contexts (ENT-033). </w:t>
      </w:r>
      <w:r>
        <w:rPr>
          <w:rFonts w:ascii="Tenorite" w:cs="Tenorite" w:eastAsia="Tenorite" w:hAnsi="Tenorite"/>
          <w:i/>
          <w:iCs/>
          <w:color w:val="000000"/>
          <w:sz w:val="21"/>
          <w:szCs w:val="21"/>
        </w:rPr>
        <w:t xml:space="preserve">Source: domain-model.md</w:t>
      </w:r>
    </w:p>
    <w:p>
      <w:pPr>
        <w:spacing w:after="160" w:line="300"/>
      </w:pPr>
      <w:r>
        <w:rPr>
          <w:rFonts w:ascii="Tenorite" w:cs="Tenorite" w:eastAsia="Tenorite" w:hAnsi="Tenorite"/>
          <w:b/>
          <w:bCs/>
          <w:color w:val="000000"/>
          <w:sz w:val="21"/>
          <w:szCs w:val="21"/>
        </w:rPr>
        <w:t xml:space="preserve">VSA</w:t>
      </w:r>
      <w:r>
        <w:rPr>
          <w:rFonts w:ascii="Tenorite" w:cs="Tenorite" w:eastAsia="Tenorite" w:hAnsi="Tenorite"/>
          <w:color w:val="000000"/>
          <w:sz w:val="21"/>
          <w:szCs w:val="21"/>
        </w:rPr>
        <w:t xml:space="preserve"> — An enterprise contractual/service-agreement term appearing in the source corpus's B2B/enterprise business-process material; its precise expansion was not resolved within the files reviewed and should be confirmed against the specific source document before this glossary is treated as final.</w:t>
      </w:r>
    </w:p>
    <w:p>
      <w:pPr>
        <w:spacing w:after="160" w:line="300"/>
      </w:pPr>
      <w:r>
        <w:rPr>
          <w:rFonts w:ascii="Tenorite" w:cs="Tenorite" w:eastAsia="Tenorite" w:hAnsi="Tenorite"/>
          <w:b/>
          <w:bCs/>
          <w:color w:val="000000"/>
          <w:sz w:val="21"/>
          <w:szCs w:val="21"/>
        </w:rPr>
        <w:t xml:space="preserve">WF-xxx</w:t>
      </w:r>
      <w:r>
        <w:rPr>
          <w:rFonts w:ascii="Tenorite" w:cs="Tenorite" w:eastAsia="Tenorite" w:hAnsi="Tenorite"/>
          <w:color w:val="000000"/>
          <w:sz w:val="21"/>
          <w:szCs w:val="21"/>
        </w:rPr>
        <w:t xml:space="preserve"> — ID scheme prefix for one of the 945 catalogued workflow steps in the workflow-execution matrix, mapping a business rule/journey to its procedural step sequence.</w:t>
      </w:r>
    </w:p>
    <w:p>
      <w:pPr>
        <w:spacing w:after="160" w:line="300"/>
      </w:pPr>
      <w:r>
        <w:rPr>
          <w:rFonts w:ascii="Tenorite" w:cs="Tenorite" w:eastAsia="Tenorite" w:hAnsi="Tenorite"/>
          <w:b/>
          <w:bCs/>
          <w:color w:val="000000"/>
          <w:sz w:val="21"/>
          <w:szCs w:val="21"/>
        </w:rPr>
        <w:t xml:space="preserve">WFM / OFSC</w:t>
      </w:r>
      <w:r>
        <w:rPr>
          <w:rFonts w:ascii="Tenorite" w:cs="Tenorite" w:eastAsia="Tenorite" w:hAnsi="Tenorite"/>
          <w:color w:val="000000"/>
          <w:sz w:val="21"/>
          <w:szCs w:val="21"/>
        </w:rPr>
        <w:t xml:space="preserve"> — Workforce Management / Oracle Field Service Cloud; the scheduling and dispatch system behind appointment-booking steps (technician clusters, calendar slots, SLA windows) for field installation/repair work (ENT-034). </w:t>
      </w:r>
      <w:r>
        <w:rPr>
          <w:rFonts w:ascii="Tenorite" w:cs="Tenorite" w:eastAsia="Tenorite" w:hAnsi="Tenorite"/>
          <w:i/>
          <w:iCs/>
          <w:color w:val="000000"/>
          <w:sz w:val="21"/>
          <w:szCs w:val="21"/>
        </w:rPr>
        <w:t xml:space="preserve">Source: reusable-patterns.md, domain-model.md</w:t>
      </w:r>
    </w:p>
    <w:p>
      <w:r>
        <w:br w:type="page"/>
      </w:r>
    </w:p>
    <w:p>
      <w:pPr>
        <w:pStyle w:val="Heading1"/>
        <w:spacing w:after="160" w:before="320"/>
      </w:pPr>
      <w:r>
        <w:t xml:space="preserve">Document Metadata &amp; Traceability</w:t>
      </w:r>
    </w:p>
    <w:p>
      <w:pPr>
        <w:pStyle w:val="Heading2"/>
        <w:spacing w:after="120" w:before="260"/>
      </w:pPr>
      <w:r>
        <w:t xml:space="preserve">Version History</w:t>
      </w:r>
    </w:p>
    <w:tbl>
      <w:tblPr>
        <w:tblW w:type="dxa" w:w="9350"/>
        <w:tblBorders>
          <w:top w:val="single" w:color="BFBFBF" w:sz="4"/>
          <w:left w:val="single" w:color="BFBFBF" w:sz="4"/>
          <w:bottom w:val="single" w:color="BFBFBF" w:sz="4"/>
          <w:right w:val="single" w:color="BFBFBF" w:sz="4"/>
          <w:insideH w:val="single" w:color="D9D9D9" w:sz="4"/>
          <w:insideV w:val="single" w:color="D9D9D9" w:sz="4"/>
        </w:tblBorders>
      </w:tblPr>
      <w:tblGrid>
        <w:gridCol w:w="3116"/>
        <w:gridCol w:w="3116"/>
        <w:gridCol w:w="3116"/>
      </w:tblGrid>
      <w:tr>
        <w:trPr>
          <w:tblHeader/>
        </w:trPr>
        <w:tc>
          <w:tcPr>
            <w:tcW w:type="dxa" w:w="3116"/>
            <w:shd w:fill="E8E8E8" w:val="clear"/>
            <w:tcMar>
              <w:top w:type="dxa" w:w="60"/>
              <w:left w:type="dxa" w:w="100"/>
              <w:bottom w:type="dxa" w:w="60"/>
              <w:right w:type="dxa" w:w="100"/>
            </w:tcMar>
            <w:vAlign w:val="center"/>
          </w:tcPr>
          <w:p>
            <w:pPr>
              <w:spacing w:after="0"/>
            </w:pPr>
            <w:r>
              <w:rPr>
                <w:rFonts w:ascii="Tenorite" w:cs="Tenorite" w:eastAsia="Tenorite" w:hAnsi="Tenorite"/>
                <w:b/>
                <w:bCs/>
                <w:color w:val="7030A0"/>
                <w:sz w:val="18"/>
                <w:szCs w:val="18"/>
              </w:rPr>
              <w:t xml:space="preserve">Version</w:t>
            </w:r>
          </w:p>
        </w:tc>
        <w:tc>
          <w:tcPr>
            <w:tcW w:type="dxa" w:w="3116"/>
            <w:shd w:fill="E8E8E8" w:val="clear"/>
            <w:tcMar>
              <w:top w:type="dxa" w:w="60"/>
              <w:left w:type="dxa" w:w="100"/>
              <w:bottom w:type="dxa" w:w="60"/>
              <w:right w:type="dxa" w:w="100"/>
            </w:tcMar>
            <w:vAlign w:val="center"/>
          </w:tcPr>
          <w:p>
            <w:pPr>
              <w:spacing w:after="0"/>
            </w:pPr>
            <w:r>
              <w:rPr>
                <w:rFonts w:ascii="Tenorite" w:cs="Tenorite" w:eastAsia="Tenorite" w:hAnsi="Tenorite"/>
                <w:b/>
                <w:bCs/>
                <w:color w:val="7030A0"/>
                <w:sz w:val="18"/>
                <w:szCs w:val="18"/>
              </w:rPr>
              <w:t xml:space="preserve">Date</w:t>
            </w:r>
          </w:p>
        </w:tc>
        <w:tc>
          <w:tcPr>
            <w:tcW w:type="dxa" w:w="3116"/>
            <w:shd w:fill="E8E8E8" w:val="clear"/>
            <w:tcMar>
              <w:top w:type="dxa" w:w="60"/>
              <w:left w:type="dxa" w:w="100"/>
              <w:bottom w:type="dxa" w:w="60"/>
              <w:right w:type="dxa" w:w="100"/>
            </w:tcMar>
            <w:vAlign w:val="center"/>
          </w:tcPr>
          <w:p>
            <w:pPr>
              <w:spacing w:after="0"/>
            </w:pPr>
            <w:r>
              <w:rPr>
                <w:rFonts w:ascii="Tenorite" w:cs="Tenorite" w:eastAsia="Tenorite" w:hAnsi="Tenorite"/>
                <w:b/>
                <w:bCs/>
                <w:color w:val="7030A0"/>
                <w:sz w:val="18"/>
                <w:szCs w:val="18"/>
              </w:rPr>
              <w:t xml:space="preserve">Change Summary</w:t>
            </w:r>
          </w:p>
        </w:tc>
      </w:tr>
      <w:tr>
        <w:tc>
          <w:tcPr>
            <w:tcW w:type="dxa" w:w="3116"/>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1.0</w:t>
            </w:r>
          </w:p>
        </w:tc>
        <w:tc>
          <w:tcPr>
            <w:tcW w:type="dxa" w:w="3116"/>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2026-09-01</w:t>
            </w:r>
          </w:p>
        </w:tc>
        <w:tc>
          <w:tcPr>
            <w:tcW w:type="dxa" w:w="3116"/>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Initial consolidated project overview, generated by the </w:t>
            </w:r>
            <w:r>
              <w:rPr>
                <w:rFonts w:ascii="Tenorite" w:cs="Tenorite" w:eastAsia="Tenorite" w:hAnsi="Tenorite"/>
                <w:b w:val="false"/>
                <w:bCs w:val="false"/>
                <w:color w:val="000000"/>
                <w:sz w:val="18"/>
                <w:szCs w:val="18"/>
              </w:rPr>
              <w:t xml:space="preserve">project-overview</w:t>
            </w:r>
            <w:r>
              <w:rPr>
                <w:rFonts w:ascii="Tenorite" w:cs="Tenorite" w:eastAsia="Tenorite" w:hAnsi="Tenorite"/>
                <w:b w:val="false"/>
                <w:bCs w:val="false"/>
                <w:color w:val="000000"/>
                <w:sz w:val="18"/>
                <w:szCs w:val="18"/>
              </w:rPr>
              <w:t xml:space="preserve"> skill from the </w:t>
            </w:r>
            <w:r>
              <w:rPr>
                <w:rFonts w:ascii="Tenorite" w:cs="Tenorite" w:eastAsia="Tenorite" w:hAnsi="Tenorite"/>
                <w:b w:val="false"/>
                <w:bCs w:val="false"/>
                <w:color w:val="000000"/>
                <w:sz w:val="18"/>
                <w:szCs w:val="18"/>
              </w:rPr>
              <w:t xml:space="preserve">vfq-dxp-app</w:t>
            </w:r>
            <w:r>
              <w:rPr>
                <w:rFonts w:ascii="Tenorite" w:cs="Tenorite" w:eastAsia="Tenorite" w:hAnsi="Tenorite"/>
                <w:b w:val="false"/>
                <w:bCs w:val="false"/>
                <w:color w:val="000000"/>
                <w:sz w:val="18"/>
                <w:szCs w:val="18"/>
              </w:rPr>
              <w:t xml:space="preserve"> reference application and its </w:t>
            </w:r>
            <w:r>
              <w:rPr>
                <w:rFonts w:ascii="Tenorite" w:cs="Tenorite" w:eastAsia="Tenorite" w:hAnsi="Tenorite"/>
                <w:b w:val="false"/>
                <w:bCs w:val="false"/>
                <w:color w:val="000000"/>
                <w:sz w:val="18"/>
                <w:szCs w:val="18"/>
              </w:rPr>
              <w:t xml:space="preserve">reference/</w:t>
            </w:r>
            <w:r>
              <w:rPr>
                <w:rFonts w:ascii="Tenorite" w:cs="Tenorite" w:eastAsia="Tenorite" w:hAnsi="Tenorite"/>
                <w:b w:val="false"/>
                <w:bCs w:val="false"/>
                <w:color w:val="000000"/>
                <w:sz w:val="18"/>
                <w:szCs w:val="18"/>
              </w:rPr>
              <w:t xml:space="preserve"> documentation.</w:t>
            </w:r>
          </w:p>
        </w:tc>
      </w:tr>
    </w:tbl>
    <w:p>
      <w:pPr>
        <w:spacing w:after="200"/>
      </w:pPr>
    </w:p>
    <w:p>
      <w:pPr>
        <w:spacing w:after="160" w:line="300"/>
      </w:pPr>
      <w:r>
        <w:rPr>
          <w:rFonts w:ascii="Tenorite" w:cs="Tenorite" w:eastAsia="Tenorite" w:hAnsi="Tenorite"/>
          <w:color w:val="000000"/>
          <w:sz w:val="21"/>
          <w:szCs w:val="21"/>
        </w:rPr>
        <w:t xml:space="preserve">The underlying blueprint documentation itself carries its own multi-stage version history (Stages A through K, plus a Phase 2 cross-check), documented in full in </w:t>
      </w:r>
      <w:r>
        <w:rPr>
          <w:rFonts w:ascii="Tenorite" w:cs="Tenorite" w:eastAsia="Tenorite" w:hAnsi="Tenorite"/>
          <w:color w:val="000000"/>
          <w:sz w:val="21"/>
          <w:szCs w:val="21"/>
        </w:rPr>
        <w:t xml:space="preserve">reference/blueprint/README.md</w:t>
      </w:r>
      <w:r>
        <w:rPr>
          <w:rFonts w:ascii="Tenorite" w:cs="Tenorite" w:eastAsia="Tenorite" w:hAnsi="Tenorite"/>
          <w:color w:val="000000"/>
          <w:sz w:val="21"/>
          <w:szCs w:val="21"/>
        </w:rPr>
        <w:t xml:space="preserve">. Highlights: Stage A–C built the foundational catalogues (personas, requirements, journeys, screens, business rules, module hierarchy) and cross-cutting analysis (traceability, gaps, conflicts, coverage, build readiness); Stage D exported this into an app-consumable "reconstruction package"; Stages E–J added diagrams, notification/exception catalogues, channel architecture, UX/QA deliverables, a real design system, and a mock-data repository; Stage K re-mined 237 flagged gaps against original source documents, recovering 78% of them; a Phase 2 review cross-checked the whole blueprint against an independently-run Phase 1.5 confidence-verification pass and applied 5 corrections.</w:t>
      </w:r>
    </w:p>
    <w:p>
      <w:pPr>
        <w:pStyle w:val="Heading2"/>
        <w:spacing w:after="120" w:before="260"/>
      </w:pPr>
      <w:r>
        <w:t xml:space="preserve">Source File Inventory</w:t>
      </w:r>
    </w:p>
    <w:p>
      <w:pPr>
        <w:spacing w:after="160" w:line="300"/>
      </w:pPr>
      <w:r>
        <w:rPr>
          <w:rFonts w:ascii="Tenorite" w:cs="Tenorite" w:eastAsia="Tenorite" w:hAnsi="Tenorite"/>
          <w:color w:val="000000"/>
          <w:sz w:val="21"/>
          <w:szCs w:val="21"/>
        </w:rPr>
        <w:t xml:space="preserve">This overview was synthesized primarily from </w:t>
      </w:r>
      <w:r>
        <w:rPr>
          <w:rFonts w:ascii="Tenorite" w:cs="Tenorite" w:eastAsia="Tenorite" w:hAnsi="Tenorite"/>
          <w:color w:val="000000"/>
          <w:sz w:val="21"/>
          <w:szCs w:val="21"/>
        </w:rPr>
        <w:t xml:space="preserve">vfq-dxp-app/reference/</w:t>
      </w:r>
      <w:r>
        <w:rPr>
          <w:rFonts w:ascii="Tenorite" w:cs="Tenorite" w:eastAsia="Tenorite" w:hAnsi="Tenorite"/>
          <w:color w:val="000000"/>
          <w:sz w:val="21"/>
          <w:szCs w:val="21"/>
        </w:rPr>
        <w:t xml:space="preserve">, which is itself distilled from an 83-document raw corpus (</w:t>
      </w:r>
      <w:r>
        <w:rPr>
          <w:rFonts w:ascii="Tenorite" w:cs="Tenorite" w:eastAsia="Tenorite" w:hAnsi="Tenorite"/>
          <w:color w:val="000000"/>
          <w:sz w:val="21"/>
          <w:szCs w:val="21"/>
        </w:rPr>
        <w:t xml:space="preserve">data/</w:t>
      </w:r>
      <w:r>
        <w:rPr>
          <w:rFonts w:ascii="Tenorite" w:cs="Tenorite" w:eastAsia="Tenorite" w:hAnsi="Tenorite"/>
          <w:color w:val="000000"/>
          <w:sz w:val="21"/>
          <w:szCs w:val="21"/>
        </w:rPr>
        <w:t xml:space="preserve">, </w:t>
      </w:r>
      <w:r>
        <w:rPr>
          <w:rFonts w:ascii="Tenorite" w:cs="Tenorite" w:eastAsia="Tenorite" w:hAnsi="Tenorite"/>
          <w:color w:val="000000"/>
          <w:sz w:val="21"/>
          <w:szCs w:val="21"/>
        </w:rPr>
        <w:t xml:space="preserve">Guided Journeys/</w:t>
      </w:r>
      <w:r>
        <w:rPr>
          <w:rFonts w:ascii="Tenorite" w:cs="Tenorite" w:eastAsia="Tenorite" w:hAnsi="Tenorite"/>
          <w:color w:val="000000"/>
          <w:sz w:val="21"/>
          <w:szCs w:val="21"/>
        </w:rPr>
        <w:t xml:space="preserve">, </w:t>
      </w:r>
      <w:r>
        <w:rPr>
          <w:rFonts w:ascii="Tenorite" w:cs="Tenorite" w:eastAsia="Tenorite" w:hAnsi="Tenorite"/>
          <w:color w:val="000000"/>
          <w:sz w:val="21"/>
          <w:szCs w:val="21"/>
        </w:rPr>
        <w:t xml:space="preserve">Workshop Recordings/</w:t>
      </w:r>
      <w:r>
        <w:rPr>
          <w:rFonts w:ascii="Tenorite" w:cs="Tenorite" w:eastAsia="Tenorite" w:hAnsi="Tenorite"/>
          <w:color w:val="000000"/>
          <w:sz w:val="21"/>
          <w:szCs w:val="21"/>
        </w:rPr>
        <w:t xml:space="preserve"> — one level up from </w:t>
      </w:r>
      <w:r>
        <w:rPr>
          <w:rFonts w:ascii="Tenorite" w:cs="Tenorite" w:eastAsia="Tenorite" w:hAnsi="Tenorite"/>
          <w:color w:val="000000"/>
          <w:sz w:val="21"/>
          <w:szCs w:val="21"/>
        </w:rPr>
        <w:t xml:space="preserve">vfq-dxp-app/</w:t>
      </w:r>
      <w:r>
        <w:rPr>
          <w:rFonts w:ascii="Tenorite" w:cs="Tenorite" w:eastAsia="Tenorite" w:hAnsi="Tenorite"/>
          <w:color w:val="000000"/>
          <w:sz w:val="21"/>
          <w:szCs w:val="21"/>
        </w:rPr>
        <w:t xml:space="preserve">, not consumed by the application at runtime). Key files consulted directly for this document:</w:t>
      </w:r>
    </w:p>
    <w:tbl>
      <w:tblPr>
        <w:tblW w:type="dxa" w:w="9350"/>
        <w:tblBorders>
          <w:top w:val="single" w:color="BFBFBF" w:sz="4"/>
          <w:left w:val="single" w:color="BFBFBF" w:sz="4"/>
          <w:bottom w:val="single" w:color="BFBFBF" w:sz="4"/>
          <w:right w:val="single" w:color="BFBFBF" w:sz="4"/>
          <w:insideH w:val="single" w:color="D9D9D9" w:sz="4"/>
          <w:insideV w:val="single" w:color="D9D9D9" w:sz="4"/>
        </w:tblBorders>
      </w:tblPr>
      <w:tblGrid>
        <w:gridCol w:w="4675"/>
        <w:gridCol w:w="4675"/>
      </w:tblGrid>
      <w:tr>
        <w:trPr>
          <w:tblHeader/>
        </w:trPr>
        <w:tc>
          <w:tcPr>
            <w:tcW w:type="dxa" w:w="4675"/>
            <w:shd w:fill="E8E8E8" w:val="clear"/>
            <w:tcMar>
              <w:top w:type="dxa" w:w="60"/>
              <w:left w:type="dxa" w:w="100"/>
              <w:bottom w:type="dxa" w:w="60"/>
              <w:right w:type="dxa" w:w="100"/>
            </w:tcMar>
            <w:vAlign w:val="center"/>
          </w:tcPr>
          <w:p>
            <w:pPr>
              <w:spacing w:after="0"/>
            </w:pPr>
            <w:r>
              <w:rPr>
                <w:rFonts w:ascii="Tenorite" w:cs="Tenorite" w:eastAsia="Tenorite" w:hAnsi="Tenorite"/>
                <w:b/>
                <w:bCs/>
                <w:color w:val="7030A0"/>
                <w:sz w:val="18"/>
                <w:szCs w:val="18"/>
              </w:rPr>
              <w:t xml:space="preserve">File/Folder</w:t>
            </w:r>
          </w:p>
        </w:tc>
        <w:tc>
          <w:tcPr>
            <w:tcW w:type="dxa" w:w="4675"/>
            <w:shd w:fill="E8E8E8" w:val="clear"/>
            <w:tcMar>
              <w:top w:type="dxa" w:w="60"/>
              <w:left w:type="dxa" w:w="100"/>
              <w:bottom w:type="dxa" w:w="60"/>
              <w:right w:type="dxa" w:w="100"/>
            </w:tcMar>
            <w:vAlign w:val="center"/>
          </w:tcPr>
          <w:p>
            <w:pPr>
              <w:spacing w:after="0"/>
            </w:pPr>
            <w:r>
              <w:rPr>
                <w:rFonts w:ascii="Tenorite" w:cs="Tenorite" w:eastAsia="Tenorite" w:hAnsi="Tenorite"/>
                <w:b/>
                <w:bCs/>
                <w:color w:val="7030A0"/>
                <w:sz w:val="18"/>
                <w:szCs w:val="18"/>
              </w:rPr>
              <w:t xml:space="preserve">Role</w:t>
            </w:r>
          </w:p>
        </w:tc>
      </w:tr>
      <w:tr>
        <w:tc>
          <w:tcPr>
            <w:tcW w:type="dxa" w:w="4675"/>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reference/.knowledge/INDEX.md</w:t>
            </w:r>
          </w:p>
        </w:tc>
        <w:tc>
          <w:tcPr>
            <w:tcW w:type="dxa" w:w="4675"/>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Routing index over all 83 raw source documents, with per-document confidence ratings</w:t>
            </w:r>
          </w:p>
        </w:tc>
      </w:tr>
      <w:tr>
        <w:tc>
          <w:tcPr>
            <w:tcW w:type="dxa" w:w="4675"/>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reference/blueprint/README.md</w:t>
            </w:r>
          </w:p>
        </w:tc>
        <w:tc>
          <w:tcPr>
            <w:tcW w:type="dxa" w:w="4675"/>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Stage-by-stage index of the entire reconstruction process (Stages A–K)</w:t>
            </w:r>
          </w:p>
        </w:tc>
      </w:tr>
      <w:tr>
        <w:tc>
          <w:tcPr>
            <w:tcW w:type="dxa" w:w="4675"/>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reference/blueprint/requirements.md</w:t>
            </w:r>
          </w:p>
        </w:tc>
        <w:tc>
          <w:tcPr>
            <w:tcW w:type="dxa" w:w="4675"/>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308 canonical requirements</w:t>
            </w:r>
          </w:p>
        </w:tc>
      </w:tr>
      <w:tr>
        <w:tc>
          <w:tcPr>
            <w:tcW w:type="dxa" w:w="4675"/>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reference/blueprint/business-rules.md</w:t>
            </w:r>
          </w:p>
        </w:tc>
        <w:tc>
          <w:tcPr>
            <w:tcW w:type="dxa" w:w="4675"/>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346 canonical business rules</w:t>
            </w:r>
          </w:p>
        </w:tc>
      </w:tr>
      <w:tr>
        <w:tc>
          <w:tcPr>
            <w:tcW w:type="dxa" w:w="4675"/>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reference/blueprint/personas.md</w:t>
            </w:r>
            <w:r>
              <w:rPr>
                <w:rFonts w:ascii="Tenorite" w:cs="Tenorite" w:eastAsia="Tenorite" w:hAnsi="Tenorite"/>
                <w:b w:val="false"/>
                <w:bCs w:val="false"/>
                <w:color w:val="000000"/>
                <w:sz w:val="18"/>
                <w:szCs w:val="18"/>
              </w:rPr>
              <w:t xml:space="preserve">, </w:t>
            </w:r>
            <w:r>
              <w:rPr>
                <w:rFonts w:ascii="Tenorite" w:cs="Tenorite" w:eastAsia="Tenorite" w:hAnsi="Tenorite"/>
                <w:b w:val="false"/>
                <w:bCs w:val="false"/>
                <w:color w:val="000000"/>
                <w:sz w:val="18"/>
                <w:szCs w:val="18"/>
              </w:rPr>
              <w:t xml:space="preserve">persona-matrix.md</w:t>
            </w:r>
            <w:r>
              <w:rPr>
                <w:rFonts w:ascii="Tenorite" w:cs="Tenorite" w:eastAsia="Tenorite" w:hAnsi="Tenorite"/>
                <w:b w:val="false"/>
                <w:bCs w:val="false"/>
                <w:color w:val="000000"/>
                <w:sz w:val="18"/>
                <w:szCs w:val="18"/>
              </w:rPr>
              <w:t xml:space="preserve">, </w:t>
            </w:r>
            <w:r>
              <w:rPr>
                <w:rFonts w:ascii="Tenorite" w:cs="Tenorite" w:eastAsia="Tenorite" w:hAnsi="Tenorite"/>
                <w:b w:val="false"/>
                <w:bCs w:val="false"/>
                <w:color w:val="000000"/>
                <w:sz w:val="18"/>
                <w:szCs w:val="18"/>
              </w:rPr>
              <w:t xml:space="preserve">rbac-matrix.md</w:t>
            </w:r>
          </w:p>
        </w:tc>
        <w:tc>
          <w:tcPr>
            <w:tcW w:type="dxa" w:w="4675"/>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66 personas, persona×module matrix, 145 RBAC entries</w:t>
            </w:r>
          </w:p>
        </w:tc>
      </w:tr>
      <w:tr>
        <w:tc>
          <w:tcPr>
            <w:tcW w:type="dxa" w:w="4675"/>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reference/blueprint/journeys.md</w:t>
            </w:r>
          </w:p>
        </w:tc>
        <w:tc>
          <w:tcPr>
            <w:tcW w:type="dxa" w:w="4675"/>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111 canonical user journeys</w:t>
            </w:r>
          </w:p>
        </w:tc>
      </w:tr>
      <w:tr>
        <w:tc>
          <w:tcPr>
            <w:tcW w:type="dxa" w:w="4675"/>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reference/blueprint/module-hierarchy.md</w:t>
            </w:r>
            <w:r>
              <w:rPr>
                <w:rFonts w:ascii="Tenorite" w:cs="Tenorite" w:eastAsia="Tenorite" w:hAnsi="Tenorite"/>
                <w:b w:val="false"/>
                <w:bCs w:val="false"/>
                <w:color w:val="000000"/>
                <w:sz w:val="18"/>
                <w:szCs w:val="18"/>
              </w:rPr>
              <w:t xml:space="preserve">, </w:t>
            </w:r>
            <w:r>
              <w:rPr>
                <w:rFonts w:ascii="Tenorite" w:cs="Tenorite" w:eastAsia="Tenorite" w:hAnsi="Tenorite"/>
                <w:b w:val="false"/>
                <w:bCs w:val="false"/>
                <w:color w:val="000000"/>
                <w:sz w:val="18"/>
                <w:szCs w:val="18"/>
              </w:rPr>
              <w:t xml:space="preserve">screens.md</w:t>
            </w:r>
            <w:r>
              <w:rPr>
                <w:rFonts w:ascii="Tenorite" w:cs="Tenorite" w:eastAsia="Tenorite" w:hAnsi="Tenorite"/>
                <w:b w:val="false"/>
                <w:bCs w:val="false"/>
                <w:color w:val="000000"/>
                <w:sz w:val="18"/>
                <w:szCs w:val="18"/>
              </w:rPr>
              <w:t xml:space="preserve">, </w:t>
            </w:r>
            <w:r>
              <w:rPr>
                <w:rFonts w:ascii="Tenorite" w:cs="Tenorite" w:eastAsia="Tenorite" w:hAnsi="Tenorite"/>
                <w:b w:val="false"/>
                <w:bCs w:val="false"/>
                <w:color w:val="000000"/>
                <w:sz w:val="18"/>
                <w:szCs w:val="18"/>
              </w:rPr>
              <w:t xml:space="preserve">platform-sitemap.md</w:t>
            </w:r>
          </w:p>
        </w:tc>
        <w:tc>
          <w:tcPr>
            <w:tcW w:type="dxa" w:w="4675"/>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16-module hierarchy, 213-screen inventory, full sitemap</w:t>
            </w:r>
          </w:p>
        </w:tc>
      </w:tr>
      <w:tr>
        <w:tc>
          <w:tcPr>
            <w:tcW w:type="dxa" w:w="4675"/>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reference/blueprint/component-catalogue.md</w:t>
            </w:r>
            <w:r>
              <w:rPr>
                <w:rFonts w:ascii="Tenorite" w:cs="Tenorite" w:eastAsia="Tenorite" w:hAnsi="Tenorite"/>
                <w:b w:val="false"/>
                <w:bCs w:val="false"/>
                <w:color w:val="000000"/>
                <w:sz w:val="18"/>
                <w:szCs w:val="18"/>
              </w:rPr>
              <w:t xml:space="preserve">, </w:t>
            </w:r>
            <w:r>
              <w:rPr>
                <w:rFonts w:ascii="Tenorite" w:cs="Tenorite" w:eastAsia="Tenorite" w:hAnsi="Tenorite"/>
                <w:b w:val="false"/>
                <w:bCs w:val="false"/>
                <w:color w:val="000000"/>
                <w:sz w:val="18"/>
                <w:szCs w:val="18"/>
              </w:rPr>
              <w:t xml:space="preserve">channel-architecture.md</w:t>
            </w:r>
            <w:r>
              <w:rPr>
                <w:rFonts w:ascii="Tenorite" w:cs="Tenorite" w:eastAsia="Tenorite" w:hAnsi="Tenorite"/>
                <w:b w:val="false"/>
                <w:bCs w:val="false"/>
                <w:color w:val="000000"/>
                <w:sz w:val="18"/>
                <w:szCs w:val="18"/>
              </w:rPr>
              <w:t xml:space="preserve">, </w:t>
            </w:r>
            <w:r>
              <w:rPr>
                <w:rFonts w:ascii="Tenorite" w:cs="Tenorite" w:eastAsia="Tenorite" w:hAnsi="Tenorite"/>
                <w:b w:val="false"/>
                <w:bCs w:val="false"/>
                <w:color w:val="000000"/>
                <w:sz w:val="18"/>
                <w:szCs w:val="18"/>
              </w:rPr>
              <w:t xml:space="preserve">screen-behaviour-catalogue.md</w:t>
            </w:r>
          </w:p>
        </w:tc>
        <w:tc>
          <w:tcPr>
            <w:tcW w:type="dxa" w:w="4675"/>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UI component tiers, channel taxonomy, screen behavior patterns</w:t>
            </w:r>
          </w:p>
        </w:tc>
      </w:tr>
      <w:tr>
        <w:tc>
          <w:tcPr>
            <w:tcW w:type="dxa" w:w="4675"/>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reference/blueprint/field-inventory.md</w:t>
            </w:r>
            <w:r>
              <w:rPr>
                <w:rFonts w:ascii="Tenorite" w:cs="Tenorite" w:eastAsia="Tenorite" w:hAnsi="Tenorite"/>
                <w:b w:val="false"/>
                <w:bCs w:val="false"/>
                <w:color w:val="000000"/>
                <w:sz w:val="18"/>
                <w:szCs w:val="18"/>
              </w:rPr>
              <w:t xml:space="preserve">, </w:t>
            </w:r>
            <w:r>
              <w:rPr>
                <w:rFonts w:ascii="Tenorite" w:cs="Tenorite" w:eastAsia="Tenorite" w:hAnsi="Tenorite"/>
                <w:b w:val="false"/>
                <w:bCs w:val="false"/>
                <w:color w:val="000000"/>
                <w:sz w:val="18"/>
                <w:szCs w:val="18"/>
              </w:rPr>
              <w:t xml:space="preserve">validation-catalogue.md</w:t>
            </w:r>
            <w:r>
              <w:rPr>
                <w:rFonts w:ascii="Tenorite" w:cs="Tenorite" w:eastAsia="Tenorite" w:hAnsi="Tenorite"/>
                <w:b w:val="false"/>
                <w:bCs w:val="false"/>
                <w:color w:val="000000"/>
                <w:sz w:val="18"/>
                <w:szCs w:val="18"/>
              </w:rPr>
              <w:t xml:space="preserve">, </w:t>
            </w:r>
            <w:r>
              <w:rPr>
                <w:rFonts w:ascii="Tenorite" w:cs="Tenorite" w:eastAsia="Tenorite" w:hAnsi="Tenorite"/>
                <w:b w:val="false"/>
                <w:bCs w:val="false"/>
                <w:color w:val="000000"/>
                <w:sz w:val="18"/>
                <w:szCs w:val="18"/>
              </w:rPr>
              <w:t xml:space="preserve">workflow-execution-matrix.md</w:t>
            </w:r>
          </w:p>
        </w:tc>
        <w:tc>
          <w:tcPr>
            <w:tcW w:type="dxa" w:w="4675"/>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970+ fields, 418 validation rules, 945 workflow steps</w:t>
            </w:r>
          </w:p>
        </w:tc>
      </w:tr>
      <w:tr>
        <w:tc>
          <w:tcPr>
            <w:tcW w:type="dxa" w:w="4675"/>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reference/blueprint/notification-catalogue.md</w:t>
            </w:r>
            <w:r>
              <w:rPr>
                <w:rFonts w:ascii="Tenorite" w:cs="Tenorite" w:eastAsia="Tenorite" w:hAnsi="Tenorite"/>
                <w:b w:val="false"/>
                <w:bCs w:val="false"/>
                <w:color w:val="000000"/>
                <w:sz w:val="18"/>
                <w:szCs w:val="18"/>
              </w:rPr>
              <w:t xml:space="preserve">, </w:t>
            </w:r>
            <w:r>
              <w:rPr>
                <w:rFonts w:ascii="Tenorite" w:cs="Tenorite" w:eastAsia="Tenorite" w:hAnsi="Tenorite"/>
                <w:b w:val="false"/>
                <w:bCs w:val="false"/>
                <w:color w:val="000000"/>
                <w:sz w:val="18"/>
                <w:szCs w:val="18"/>
              </w:rPr>
              <w:t xml:space="preserve">exception-catalogue.md</w:t>
            </w:r>
            <w:r>
              <w:rPr>
                <w:rFonts w:ascii="Tenorite" w:cs="Tenorite" w:eastAsia="Tenorite" w:hAnsi="Tenorite"/>
                <w:b w:val="false"/>
                <w:bCs w:val="false"/>
                <w:color w:val="000000"/>
                <w:sz w:val="18"/>
                <w:szCs w:val="18"/>
              </w:rPr>
              <w:t xml:space="preserve">, </w:t>
            </w:r>
            <w:r>
              <w:rPr>
                <w:rFonts w:ascii="Tenorite" w:cs="Tenorite" w:eastAsia="Tenorite" w:hAnsi="Tenorite"/>
                <w:b w:val="false"/>
                <w:bCs w:val="false"/>
                <w:color w:val="000000"/>
                <w:sz w:val="18"/>
                <w:szCs w:val="18"/>
              </w:rPr>
              <w:t xml:space="preserve">screen-state-model.md</w:t>
            </w:r>
          </w:p>
        </w:tc>
        <w:tc>
          <w:tcPr>
            <w:tcW w:type="dxa" w:w="4675"/>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SMS/error-message catalogue, exception taxonomy, entity lifecycle model</w:t>
            </w:r>
          </w:p>
        </w:tc>
      </w:tr>
      <w:tr>
        <w:tc>
          <w:tcPr>
            <w:tcW w:type="dxa" w:w="4675"/>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reference/blueprint/search-filter-framework.md</w:t>
            </w:r>
            <w:r>
              <w:rPr>
                <w:rFonts w:ascii="Tenorite" w:cs="Tenorite" w:eastAsia="Tenorite" w:hAnsi="Tenorite"/>
                <w:b w:val="false"/>
                <w:bCs w:val="false"/>
                <w:color w:val="000000"/>
                <w:sz w:val="18"/>
                <w:szCs w:val="18"/>
              </w:rPr>
              <w:t xml:space="preserve">, </w:t>
            </w:r>
            <w:r>
              <w:rPr>
                <w:rFonts w:ascii="Tenorite" w:cs="Tenorite" w:eastAsia="Tenorite" w:hAnsi="Tenorite"/>
                <w:b w:val="false"/>
                <w:bCs w:val="false"/>
                <w:color w:val="000000"/>
                <w:sz w:val="18"/>
                <w:szCs w:val="18"/>
              </w:rPr>
              <w:t xml:space="preserve">dashboard-analytics-framework.md</w:t>
            </w:r>
            <w:r>
              <w:rPr>
                <w:rFonts w:ascii="Tenorite" w:cs="Tenorite" w:eastAsia="Tenorite" w:hAnsi="Tenorite"/>
                <w:b w:val="false"/>
                <w:bCs w:val="false"/>
                <w:color w:val="000000"/>
                <w:sz w:val="18"/>
                <w:szCs w:val="18"/>
              </w:rPr>
              <w:t xml:space="preserve">, </w:t>
            </w:r>
            <w:r>
              <w:rPr>
                <w:rFonts w:ascii="Tenorite" w:cs="Tenorite" w:eastAsia="Tenorite" w:hAnsi="Tenorite"/>
                <w:b w:val="false"/>
                <w:bCs w:val="false"/>
                <w:color w:val="000000"/>
                <w:sz w:val="18"/>
                <w:szCs w:val="18"/>
              </w:rPr>
              <w:t xml:space="preserve">responsive-behaviour-catalogue.md</w:t>
            </w:r>
            <w:r>
              <w:rPr>
                <w:rFonts w:ascii="Tenorite" w:cs="Tenorite" w:eastAsia="Tenorite" w:hAnsi="Tenorite"/>
                <w:b w:val="false"/>
                <w:bCs w:val="false"/>
                <w:color w:val="000000"/>
                <w:sz w:val="18"/>
                <w:szCs w:val="18"/>
              </w:rPr>
              <w:t xml:space="preserve">, </w:t>
            </w:r>
            <w:r>
              <w:rPr>
                <w:rFonts w:ascii="Tenorite" w:cs="Tenorite" w:eastAsia="Tenorite" w:hAnsi="Tenorite"/>
                <w:b w:val="false"/>
                <w:bCs w:val="false"/>
                <w:color w:val="000000"/>
                <w:sz w:val="18"/>
                <w:szCs w:val="18"/>
              </w:rPr>
              <w:t xml:space="preserve">feature-toggle-catalogue.md</w:t>
            </w:r>
          </w:p>
        </w:tc>
        <w:tc>
          <w:tcPr>
            <w:tcW w:type="dxa" w:w="4675"/>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Thinly-evidenced cross-cutting deliverables, flagged as such</w:t>
            </w:r>
          </w:p>
        </w:tc>
      </w:tr>
      <w:tr>
        <w:tc>
          <w:tcPr>
            <w:tcW w:type="dxa" w:w="4675"/>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reference/blueprint/gap-analysis.md</w:t>
            </w:r>
            <w:r>
              <w:rPr>
                <w:rFonts w:ascii="Tenorite" w:cs="Tenorite" w:eastAsia="Tenorite" w:hAnsi="Tenorite"/>
                <w:b w:val="false"/>
                <w:bCs w:val="false"/>
                <w:color w:val="000000"/>
                <w:sz w:val="18"/>
                <w:szCs w:val="18"/>
              </w:rPr>
              <w:t xml:space="preserve">, </w:t>
            </w:r>
            <w:r>
              <w:rPr>
                <w:rFonts w:ascii="Tenorite" w:cs="Tenorite" w:eastAsia="Tenorite" w:hAnsi="Tenorite"/>
                <w:b w:val="false"/>
                <w:bCs w:val="false"/>
                <w:color w:val="000000"/>
                <w:sz w:val="18"/>
                <w:szCs w:val="18"/>
              </w:rPr>
              <w:t xml:space="preserve">gap-resolution-stage-k.md</w:t>
            </w:r>
            <w:r>
              <w:rPr>
                <w:rFonts w:ascii="Tenorite" w:cs="Tenorite" w:eastAsia="Tenorite" w:hAnsi="Tenorite"/>
                <w:b w:val="false"/>
                <w:bCs w:val="false"/>
                <w:color w:val="000000"/>
                <w:sz w:val="18"/>
                <w:szCs w:val="18"/>
              </w:rPr>
              <w:t xml:space="preserve">, </w:t>
            </w:r>
            <w:r>
              <w:rPr>
                <w:rFonts w:ascii="Tenorite" w:cs="Tenorite" w:eastAsia="Tenorite" w:hAnsi="Tenorite"/>
                <w:b w:val="false"/>
                <w:bCs w:val="false"/>
                <w:color w:val="000000"/>
                <w:sz w:val="18"/>
                <w:szCs w:val="18"/>
              </w:rPr>
              <w:t xml:space="preserve">conflict-report.md</w:t>
            </w:r>
          </w:p>
        </w:tc>
        <w:tc>
          <w:tcPr>
            <w:tcW w:type="dxa" w:w="4675"/>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Gap tracking, re-mining results, verified conflicts</w:t>
            </w:r>
          </w:p>
        </w:tc>
      </w:tr>
      <w:tr>
        <w:tc>
          <w:tcPr>
            <w:tcW w:type="dxa" w:w="4675"/>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reference/blueprint/coverage-report.md</w:t>
            </w:r>
            <w:r>
              <w:rPr>
                <w:rFonts w:ascii="Tenorite" w:cs="Tenorite" w:eastAsia="Tenorite" w:hAnsi="Tenorite"/>
                <w:b w:val="false"/>
                <w:bCs w:val="false"/>
                <w:color w:val="000000"/>
                <w:sz w:val="18"/>
                <w:szCs w:val="18"/>
              </w:rPr>
              <w:t xml:space="preserve">, </w:t>
            </w:r>
            <w:r>
              <w:rPr>
                <w:rFonts w:ascii="Tenorite" w:cs="Tenorite" w:eastAsia="Tenorite" w:hAnsi="Tenorite"/>
                <w:b w:val="false"/>
                <w:bCs w:val="false"/>
                <w:color w:val="000000"/>
                <w:sz w:val="18"/>
                <w:szCs w:val="18"/>
              </w:rPr>
              <w:t xml:space="preserve">build-readiness.md</w:t>
            </w:r>
            <w:r>
              <w:rPr>
                <w:rFonts w:ascii="Tenorite" w:cs="Tenorite" w:eastAsia="Tenorite" w:hAnsi="Tenorite"/>
                <w:b w:val="false"/>
                <w:bCs w:val="false"/>
                <w:color w:val="000000"/>
                <w:sz w:val="18"/>
                <w:szCs w:val="18"/>
              </w:rPr>
              <w:t xml:space="preserve">, </w:t>
            </w:r>
            <w:r>
              <w:rPr>
                <w:rFonts w:ascii="Tenorite" w:cs="Tenorite" w:eastAsia="Tenorite" w:hAnsi="Tenorite"/>
                <w:b w:val="false"/>
                <w:bCs w:val="false"/>
                <w:color w:val="000000"/>
                <w:sz w:val="18"/>
                <w:szCs w:val="18"/>
              </w:rPr>
              <w:t xml:space="preserve">traceability-matrix.md</w:t>
            </w:r>
            <w:r>
              <w:rPr>
                <w:rFonts w:ascii="Tenorite" w:cs="Tenorite" w:eastAsia="Tenorite" w:hAnsi="Tenorite"/>
                <w:b w:val="false"/>
                <w:bCs w:val="false"/>
                <w:color w:val="000000"/>
                <w:sz w:val="18"/>
                <w:szCs w:val="18"/>
              </w:rPr>
              <w:t xml:space="preserve">, </w:t>
            </w:r>
            <w:r>
              <w:rPr>
                <w:rFonts w:ascii="Tenorite" w:cs="Tenorite" w:eastAsia="Tenorite" w:hAnsi="Tenorite"/>
                <w:b w:val="false"/>
                <w:bCs w:val="false"/>
                <w:color w:val="000000"/>
                <w:sz w:val="18"/>
                <w:szCs w:val="18"/>
              </w:rPr>
              <w:t xml:space="preserve">traceability-workbook-reconciliation.md</w:t>
            </w:r>
          </w:p>
        </w:tc>
        <w:tc>
          <w:tcPr>
            <w:tcW w:type="dxa" w:w="4675"/>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Aggregate coverage, per-module build readiness, requirement traceability</w:t>
            </w:r>
          </w:p>
        </w:tc>
      </w:tr>
      <w:tr>
        <w:tc>
          <w:tcPr>
            <w:tcW w:type="dxa" w:w="4675"/>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reference/blueprint/test-scenario-catalogue.md</w:t>
            </w:r>
          </w:p>
        </w:tc>
        <w:tc>
          <w:tcPr>
            <w:tcW w:type="dxa" w:w="4675"/>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775 requirement-linked test scenarios</w:t>
            </w:r>
          </w:p>
        </w:tc>
      </w:tr>
      <w:tr>
        <w:tc>
          <w:tcPr>
            <w:tcW w:type="dxa" w:w="4675"/>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reference/blueprint/domain-model.md</w:t>
            </w:r>
          </w:p>
        </w:tc>
        <w:tc>
          <w:tcPr>
            <w:tcW w:type="dxa" w:w="4675"/>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83-entity domain model</w:t>
            </w:r>
          </w:p>
        </w:tc>
      </w:tr>
      <w:tr>
        <w:tc>
          <w:tcPr>
            <w:tcW w:type="dxa" w:w="4675"/>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reference/blueprint/reconstruction-package/docs/frontend-architecture.md</w:t>
            </w:r>
            <w:r>
              <w:rPr>
                <w:rFonts w:ascii="Tenorite" w:cs="Tenorite" w:eastAsia="Tenorite" w:hAnsi="Tenorite"/>
                <w:b w:val="false"/>
                <w:bCs w:val="false"/>
                <w:color w:val="000000"/>
                <w:sz w:val="18"/>
                <w:szCs w:val="18"/>
              </w:rPr>
              <w:t xml:space="preserve">, </w:t>
            </w:r>
            <w:r>
              <w:rPr>
                <w:rFonts w:ascii="Tenorite" w:cs="Tenorite" w:eastAsia="Tenorite" w:hAnsi="Tenorite"/>
                <w:b w:val="false"/>
                <w:bCs w:val="false"/>
                <w:color w:val="000000"/>
                <w:sz w:val="18"/>
                <w:szCs w:val="18"/>
              </w:rPr>
              <w:t xml:space="preserve">folder-structure.md</w:t>
            </w:r>
            <w:r>
              <w:rPr>
                <w:rFonts w:ascii="Tenorite" w:cs="Tenorite" w:eastAsia="Tenorite" w:hAnsi="Tenorite"/>
                <w:b w:val="false"/>
                <w:bCs w:val="false"/>
                <w:color w:val="000000"/>
                <w:sz w:val="18"/>
                <w:szCs w:val="18"/>
              </w:rPr>
              <w:t xml:space="preserve">, </w:t>
            </w:r>
            <w:r>
              <w:rPr>
                <w:rFonts w:ascii="Tenorite" w:cs="Tenorite" w:eastAsia="Tenorite" w:hAnsi="Tenorite"/>
                <w:b w:val="false"/>
                <w:bCs w:val="false"/>
                <w:color w:val="000000"/>
                <w:sz w:val="18"/>
                <w:szCs w:val="18"/>
              </w:rPr>
              <w:t xml:space="preserve">reusable-patterns.md</w:t>
            </w:r>
            <w:r>
              <w:rPr>
                <w:rFonts w:ascii="Tenorite" w:cs="Tenorite" w:eastAsia="Tenorite" w:hAnsi="Tenorite"/>
                <w:b w:val="false"/>
                <w:bCs w:val="false"/>
                <w:color w:val="000000"/>
                <w:sz w:val="18"/>
                <w:szCs w:val="18"/>
              </w:rPr>
              <w:t xml:space="preserve">, </w:t>
            </w:r>
            <w:r>
              <w:rPr>
                <w:rFonts w:ascii="Tenorite" w:cs="Tenorite" w:eastAsia="Tenorite" w:hAnsi="Tenorite"/>
                <w:b w:val="false"/>
                <w:bCs w:val="false"/>
                <w:color w:val="000000"/>
                <w:sz w:val="18"/>
                <w:szCs w:val="18"/>
              </w:rPr>
              <w:t xml:space="preserve">design-system.md</w:t>
            </w:r>
          </w:p>
        </w:tc>
        <w:tc>
          <w:tcPr>
            <w:tcW w:type="dxa" w:w="4675"/>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As-built technical architecture documentation</w:t>
            </w:r>
          </w:p>
        </w:tc>
      </w:tr>
      <w:tr>
        <w:tc>
          <w:tcPr>
            <w:tcW w:type="dxa" w:w="4675"/>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reference/diagrams/</w:t>
            </w:r>
          </w:p>
        </w:tc>
        <w:tc>
          <w:tcPr>
            <w:tcW w:type="dxa" w:w="4675"/>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24 standalone HTML process-flow diagrams (9 </w:t>
            </w:r>
            <w:r>
              <w:rPr>
                <w:rFonts w:ascii="Tenorite" w:cs="Tenorite" w:eastAsia="Tenorite" w:hAnsi="Tenorite"/>
                <w:b w:val="false"/>
                <w:bCs w:val="false"/>
                <w:color w:val="000000"/>
                <w:sz w:val="18"/>
                <w:szCs w:val="18"/>
              </w:rPr>
              <w:t xml:space="preserve">uj0xx-*</w:t>
            </w:r>
            <w:r>
              <w:rPr>
                <w:rFonts w:ascii="Tenorite" w:cs="Tenorite" w:eastAsia="Tenorite" w:hAnsi="Tenorite"/>
                <w:b w:val="false"/>
                <w:bCs w:val="false"/>
                <w:color w:val="000000"/>
                <w:sz w:val="18"/>
                <w:szCs w:val="18"/>
              </w:rPr>
              <w:t xml:space="preserve">, 15 </w:t>
            </w:r>
            <w:r>
              <w:rPr>
                <w:rFonts w:ascii="Tenorite" w:cs="Tenorite" w:eastAsia="Tenorite" w:hAnsi="Tenorite"/>
                <w:b w:val="false"/>
                <w:bCs w:val="false"/>
                <w:color w:val="000000"/>
                <w:sz w:val="18"/>
                <w:szCs w:val="18"/>
              </w:rPr>
              <w:t xml:space="preserve">cat0xx-*</w:t>
            </w:r>
            <w:r>
              <w:rPr>
                <w:rFonts w:ascii="Tenorite" w:cs="Tenorite" w:eastAsia="Tenorite" w:hAnsi="Tenorite"/>
                <w:b w:val="false"/>
                <w:bCs w:val="false"/>
                <w:color w:val="000000"/>
                <w:sz w:val="18"/>
                <w:szCs w:val="18"/>
              </w:rPr>
              <w:t xml:space="preserve">)</w:t>
            </w:r>
          </w:p>
        </w:tc>
      </w:tr>
      <w:tr>
        <w:tc>
          <w:tcPr>
            <w:tcW w:type="dxa" w:w="4675"/>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vfq-dxp-app/package.json</w:t>
            </w:r>
            <w:r>
              <w:rPr>
                <w:rFonts w:ascii="Tenorite" w:cs="Tenorite" w:eastAsia="Tenorite" w:hAnsi="Tenorite"/>
                <w:b w:val="false"/>
                <w:bCs w:val="false"/>
                <w:color w:val="000000"/>
                <w:sz w:val="18"/>
                <w:szCs w:val="18"/>
              </w:rPr>
              <w:t xml:space="preserve">, </w:t>
            </w:r>
            <w:r>
              <w:rPr>
                <w:rFonts w:ascii="Tenorite" w:cs="Tenorite" w:eastAsia="Tenorite" w:hAnsi="Tenorite"/>
                <w:b w:val="false"/>
                <w:bCs w:val="false"/>
                <w:color w:val="000000"/>
                <w:sz w:val="18"/>
                <w:szCs w:val="18"/>
              </w:rPr>
              <w:t xml:space="preserve">src/App.tsx</w:t>
            </w:r>
            <w:r>
              <w:rPr>
                <w:rFonts w:ascii="Tenorite" w:cs="Tenorite" w:eastAsia="Tenorite" w:hAnsi="Tenorite"/>
                <w:b w:val="false"/>
                <w:bCs w:val="false"/>
                <w:color w:val="000000"/>
                <w:sz w:val="18"/>
                <w:szCs w:val="18"/>
              </w:rPr>
              <w:t xml:space="preserve">, </w:t>
            </w:r>
            <w:r>
              <w:rPr>
                <w:rFonts w:ascii="Tenorite" w:cs="Tenorite" w:eastAsia="Tenorite" w:hAnsi="Tenorite"/>
                <w:b w:val="false"/>
                <w:bCs w:val="false"/>
                <w:color w:val="000000"/>
                <w:sz w:val="18"/>
                <w:szCs w:val="18"/>
              </w:rPr>
              <w:t xml:space="preserve">src/router.tsx</w:t>
            </w:r>
            <w:r>
              <w:rPr>
                <w:rFonts w:ascii="Tenorite" w:cs="Tenorite" w:eastAsia="Tenorite" w:hAnsi="Tenorite"/>
                <w:b w:val="false"/>
                <w:bCs w:val="false"/>
                <w:color w:val="000000"/>
                <w:sz w:val="18"/>
                <w:szCs w:val="18"/>
              </w:rPr>
              <w:t xml:space="preserve">, </w:t>
            </w:r>
            <w:r>
              <w:rPr>
                <w:rFonts w:ascii="Tenorite" w:cs="Tenorite" w:eastAsia="Tenorite" w:hAnsi="Tenorite"/>
                <w:b w:val="false"/>
                <w:bCs w:val="false"/>
                <w:color w:val="000000"/>
                <w:sz w:val="18"/>
                <w:szCs w:val="18"/>
              </w:rPr>
              <w:t xml:space="preserve">src/engines/</w:t>
            </w:r>
            <w:r>
              <w:rPr>
                <w:rFonts w:ascii="Tenorite" w:cs="Tenorite" w:eastAsia="Tenorite" w:hAnsi="Tenorite"/>
                <w:b w:val="false"/>
                <w:bCs w:val="false"/>
                <w:color w:val="000000"/>
                <w:sz w:val="18"/>
                <w:szCs w:val="18"/>
              </w:rPr>
              <w:t xml:space="preserve">, </w:t>
            </w:r>
            <w:r>
              <w:rPr>
                <w:rFonts w:ascii="Tenorite" w:cs="Tenorite" w:eastAsia="Tenorite" w:hAnsi="Tenorite"/>
                <w:b w:val="false"/>
                <w:bCs w:val="false"/>
                <w:color w:val="000000"/>
                <w:sz w:val="18"/>
                <w:szCs w:val="18"/>
              </w:rPr>
              <w:t xml:space="preserve">src/stores/</w:t>
            </w:r>
            <w:r>
              <w:rPr>
                <w:rFonts w:ascii="Tenorite" w:cs="Tenorite" w:eastAsia="Tenorite" w:hAnsi="Tenorite"/>
                <w:b w:val="false"/>
                <w:bCs w:val="false"/>
                <w:color w:val="000000"/>
                <w:sz w:val="18"/>
                <w:szCs w:val="18"/>
              </w:rPr>
              <w:t xml:space="preserve">, </w:t>
            </w:r>
            <w:r>
              <w:rPr>
                <w:rFonts w:ascii="Tenorite" w:cs="Tenorite" w:eastAsia="Tenorite" w:hAnsi="Tenorite"/>
                <w:b w:val="false"/>
                <w:bCs w:val="false"/>
                <w:color w:val="000000"/>
                <w:sz w:val="18"/>
                <w:szCs w:val="18"/>
              </w:rPr>
              <w:t xml:space="preserve">src/modules/</w:t>
            </w:r>
          </w:p>
        </w:tc>
        <w:tc>
          <w:tcPr>
            <w:tcW w:type="dxa" w:w="4675"/>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Actual application source code, read directly to verify as-built scope against the blueprint</w:t>
            </w:r>
          </w:p>
        </w:tc>
      </w:tr>
      <w:tr>
        <w:tc>
          <w:tcPr>
            <w:tcW w:type="dxa" w:w="4675"/>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vfq-dxp-app/CLAUDE.md</w:t>
            </w:r>
            <w:r>
              <w:rPr>
                <w:rFonts w:ascii="Tenorite" w:cs="Tenorite" w:eastAsia="Tenorite" w:hAnsi="Tenorite"/>
                <w:b w:val="false"/>
                <w:bCs w:val="false"/>
                <w:color w:val="000000"/>
                <w:sz w:val="18"/>
                <w:szCs w:val="18"/>
              </w:rPr>
              <w:t xml:space="preserve">, root </w:t>
            </w:r>
            <w:r>
              <w:rPr>
                <w:rFonts w:ascii="Tenorite" w:cs="Tenorite" w:eastAsia="Tenorite" w:hAnsi="Tenorite"/>
                <w:b w:val="false"/>
                <w:bCs w:val="false"/>
                <w:color w:val="000000"/>
                <w:sz w:val="18"/>
                <w:szCs w:val="18"/>
              </w:rPr>
              <w:t xml:space="preserve">CLAUDE.md</w:t>
            </w:r>
          </w:p>
        </w:tc>
        <w:tc>
          <w:tcPr>
            <w:tcW w:type="dxa" w:w="4675"/>
            <w:tcMar>
              <w:top w:type="dxa" w:w="60"/>
              <w:left w:type="dxa" w:w="100"/>
              <w:bottom w:type="dxa" w:w="60"/>
              <w:right w:type="dxa" w:w="100"/>
            </w:tcMar>
            <w:vAlign w:val="center"/>
          </w:tcPr>
          <w:p>
            <w:pPr>
              <w:spacing w:after="0"/>
            </w:pPr>
            <w:r>
              <w:rPr>
                <w:rFonts w:ascii="Tenorite" w:cs="Tenorite" w:eastAsia="Tenorite" w:hAnsi="Tenorite"/>
                <w:b w:val="false"/>
                <w:bCs w:val="false"/>
                <w:color w:val="000000"/>
                <w:sz w:val="18"/>
                <w:szCs w:val="18"/>
              </w:rPr>
              <w:t xml:space="preserve">Project-structure and knowledge-base usage instructions governing how this corpus should be read</w:t>
            </w:r>
          </w:p>
        </w:tc>
      </w:tr>
    </w:tbl>
    <w:p>
      <w:pPr>
        <w:spacing w:after="200"/>
      </w:pPr>
    </w:p>
    <w:p>
      <w:pPr>
        <w:pStyle w:val="Heading2"/>
        <w:spacing w:after="120" w:before="260"/>
      </w:pPr>
      <w:r>
        <w:t xml:space="preserve">Reference Index</w:t>
      </w:r>
    </w:p>
    <w:p>
      <w:pPr>
        <w:spacing w:after="160" w:line="300"/>
      </w:pPr>
      <w:r>
        <w:rPr>
          <w:rFonts w:ascii="Tenorite" w:cs="Tenorite" w:eastAsia="Tenorite" w:hAnsi="Tenorite"/>
          <w:color w:val="000000"/>
          <w:sz w:val="21"/>
          <w:szCs w:val="21"/>
        </w:rPr>
        <w:t xml:space="preserve">All </w:t>
      </w:r>
      <w:r>
        <w:rPr>
          <w:rFonts w:ascii="Tenorite" w:cs="Tenorite" w:eastAsia="Tenorite" w:hAnsi="Tenorite"/>
          <w:color w:val="000000"/>
          <w:sz w:val="21"/>
          <w:szCs w:val="21"/>
        </w:rPr>
        <w:t xml:space="preserve">[Ref: ...]</w:t>
      </w:r>
      <w:r>
        <w:rPr>
          <w:rFonts w:ascii="Tenorite" w:cs="Tenorite" w:eastAsia="Tenorite" w:hAnsi="Tenorite"/>
          <w:color w:val="000000"/>
          <w:sz w:val="21"/>
          <w:szCs w:val="21"/>
        </w:rPr>
        <w:t xml:space="preserve">-style citations in this document point to files under </w:t>
      </w:r>
      <w:r>
        <w:rPr>
          <w:rFonts w:ascii="Tenorite" w:cs="Tenorite" w:eastAsia="Tenorite" w:hAnsi="Tenorite"/>
          <w:color w:val="000000"/>
          <w:sz w:val="21"/>
          <w:szCs w:val="21"/>
        </w:rPr>
        <w:t xml:space="preserve">vfq-dxp-app/reference/blueprint/</w:t>
      </w:r>
      <w:r>
        <w:rPr>
          <w:rFonts w:ascii="Tenorite" w:cs="Tenorite" w:eastAsia="Tenorite" w:hAnsi="Tenorite"/>
          <w:color w:val="000000"/>
          <w:sz w:val="21"/>
          <w:szCs w:val="21"/>
        </w:rPr>
        <w:t xml:space="preserve"> unless otherwise noted (e.g. </w:t>
      </w:r>
      <w:r>
        <w:rPr>
          <w:rFonts w:ascii="Tenorite" w:cs="Tenorite" w:eastAsia="Tenorite" w:hAnsi="Tenorite"/>
          <w:color w:val="000000"/>
          <w:sz w:val="21"/>
          <w:szCs w:val="21"/>
        </w:rPr>
        <w:t xml:space="preserve">.knowledge/INDEX.md</w:t>
      </w:r>
      <w:r>
        <w:rPr>
          <w:rFonts w:ascii="Tenorite" w:cs="Tenorite" w:eastAsia="Tenorite" w:hAnsi="Tenorite"/>
          <w:color w:val="000000"/>
          <w:sz w:val="21"/>
          <w:szCs w:val="21"/>
        </w:rPr>
        <w:t xml:space="preserve">, or </w:t>
      </w:r>
      <w:r>
        <w:rPr>
          <w:rFonts w:ascii="Tenorite" w:cs="Tenorite" w:eastAsia="Tenorite" w:hAnsi="Tenorite"/>
          <w:color w:val="000000"/>
          <w:sz w:val="21"/>
          <w:szCs w:val="21"/>
        </w:rPr>
        <w:t xml:space="preserve">reconstruction-package/docs/...</w:t>
      </w:r>
      <w:r>
        <w:rPr>
          <w:rFonts w:ascii="Tenorite" w:cs="Tenorite" w:eastAsia="Tenorite" w:hAnsi="Tenorite"/>
          <w:color w:val="000000"/>
          <w:sz w:val="21"/>
          <w:szCs w:val="21"/>
        </w:rPr>
        <w:t xml:space="preserve"> for architecture docs). Item-level IDs follow the blueprint's own scheme: </w:t>
      </w:r>
      <w:r>
        <w:rPr>
          <w:rFonts w:ascii="Tenorite" w:cs="Tenorite" w:eastAsia="Tenorite" w:hAnsi="Tenorite"/>
          <w:color w:val="000000"/>
          <w:sz w:val="21"/>
          <w:szCs w:val="21"/>
        </w:rPr>
        <w:t xml:space="preserve">REQ-xxx</w:t>
      </w:r>
      <w:r>
        <w:rPr>
          <w:rFonts w:ascii="Tenorite" w:cs="Tenorite" w:eastAsia="Tenorite" w:hAnsi="Tenorite"/>
          <w:color w:val="000000"/>
          <w:sz w:val="21"/>
          <w:szCs w:val="21"/>
        </w:rPr>
        <w:t xml:space="preserve"> (requirements), </w:t>
      </w:r>
      <w:r>
        <w:rPr>
          <w:rFonts w:ascii="Tenorite" w:cs="Tenorite" w:eastAsia="Tenorite" w:hAnsi="Tenorite"/>
          <w:color w:val="000000"/>
          <w:sz w:val="21"/>
          <w:szCs w:val="21"/>
        </w:rPr>
        <w:t xml:space="preserve">BR-xxx</w:t>
      </w:r>
      <w:r>
        <w:rPr>
          <w:rFonts w:ascii="Tenorite" w:cs="Tenorite" w:eastAsia="Tenorite" w:hAnsi="Tenorite"/>
          <w:color w:val="000000"/>
          <w:sz w:val="21"/>
          <w:szCs w:val="21"/>
        </w:rPr>
        <w:t xml:space="preserve"> (business rules), </w:t>
      </w:r>
      <w:r>
        <w:rPr>
          <w:rFonts w:ascii="Tenorite" w:cs="Tenorite" w:eastAsia="Tenorite" w:hAnsi="Tenorite"/>
          <w:color w:val="000000"/>
          <w:sz w:val="21"/>
          <w:szCs w:val="21"/>
        </w:rPr>
        <w:t xml:space="preserve">UJ-xxx</w:t>
      </w:r>
      <w:r>
        <w:rPr>
          <w:rFonts w:ascii="Tenorite" w:cs="Tenorite" w:eastAsia="Tenorite" w:hAnsi="Tenorite"/>
          <w:color w:val="000000"/>
          <w:sz w:val="21"/>
          <w:szCs w:val="21"/>
        </w:rPr>
        <w:t xml:space="preserve"> (journeys), </w:t>
      </w:r>
      <w:r>
        <w:rPr>
          <w:rFonts w:ascii="Tenorite" w:cs="Tenorite" w:eastAsia="Tenorite" w:hAnsi="Tenorite"/>
          <w:color w:val="000000"/>
          <w:sz w:val="21"/>
          <w:szCs w:val="21"/>
        </w:rPr>
        <w:t xml:space="preserve">SCR-xxx</w:t>
      </w:r>
      <w:r>
        <w:rPr>
          <w:rFonts w:ascii="Tenorite" w:cs="Tenorite" w:eastAsia="Tenorite" w:hAnsi="Tenorite"/>
          <w:color w:val="000000"/>
          <w:sz w:val="21"/>
          <w:szCs w:val="21"/>
        </w:rPr>
        <w:t xml:space="preserve"> (screens), </w:t>
      </w:r>
      <w:r>
        <w:rPr>
          <w:rFonts w:ascii="Tenorite" w:cs="Tenorite" w:eastAsia="Tenorite" w:hAnsi="Tenorite"/>
          <w:color w:val="000000"/>
          <w:sz w:val="21"/>
          <w:szCs w:val="21"/>
        </w:rPr>
        <w:t xml:space="preserve">PERSONA-xxx</w:t>
      </w:r>
      <w:r>
        <w:rPr>
          <w:rFonts w:ascii="Tenorite" w:cs="Tenorite" w:eastAsia="Tenorite" w:hAnsi="Tenorite"/>
          <w:color w:val="000000"/>
          <w:sz w:val="21"/>
          <w:szCs w:val="21"/>
        </w:rPr>
        <w:t xml:space="preserve"> (personas), </w:t>
      </w:r>
      <w:r>
        <w:rPr>
          <w:rFonts w:ascii="Tenorite" w:cs="Tenorite" w:eastAsia="Tenorite" w:hAnsi="Tenorite"/>
          <w:color w:val="000000"/>
          <w:sz w:val="21"/>
          <w:szCs w:val="21"/>
        </w:rPr>
        <w:t xml:space="preserve">RBAC-xxx</w:t>
      </w:r>
      <w:r>
        <w:rPr>
          <w:rFonts w:ascii="Tenorite" w:cs="Tenorite" w:eastAsia="Tenorite" w:hAnsi="Tenorite"/>
          <w:color w:val="000000"/>
          <w:sz w:val="21"/>
          <w:szCs w:val="21"/>
        </w:rPr>
        <w:t xml:space="preserve"> (access-control entries), </w:t>
      </w:r>
      <w:r>
        <w:rPr>
          <w:rFonts w:ascii="Tenorite" w:cs="Tenorite" w:eastAsia="Tenorite" w:hAnsi="Tenorite"/>
          <w:color w:val="000000"/>
          <w:sz w:val="21"/>
          <w:szCs w:val="21"/>
        </w:rPr>
        <w:t xml:space="preserve">FLD-xxx</w:t>
      </w:r>
      <w:r>
        <w:rPr>
          <w:rFonts w:ascii="Tenorite" w:cs="Tenorite" w:eastAsia="Tenorite" w:hAnsi="Tenorite"/>
          <w:color w:val="000000"/>
          <w:sz w:val="21"/>
          <w:szCs w:val="21"/>
        </w:rPr>
        <w:t xml:space="preserve"> (fields), </w:t>
      </w:r>
      <w:r>
        <w:rPr>
          <w:rFonts w:ascii="Tenorite" w:cs="Tenorite" w:eastAsia="Tenorite" w:hAnsi="Tenorite"/>
          <w:color w:val="000000"/>
          <w:sz w:val="21"/>
          <w:szCs w:val="21"/>
        </w:rPr>
        <w:t xml:space="preserve">VAL-xxx</w:t>
      </w:r>
      <w:r>
        <w:rPr>
          <w:rFonts w:ascii="Tenorite" w:cs="Tenorite" w:eastAsia="Tenorite" w:hAnsi="Tenorite"/>
          <w:color w:val="000000"/>
          <w:sz w:val="21"/>
          <w:szCs w:val="21"/>
        </w:rPr>
        <w:t xml:space="preserve"> (validation rules), </w:t>
      </w:r>
      <w:r>
        <w:rPr>
          <w:rFonts w:ascii="Tenorite" w:cs="Tenorite" w:eastAsia="Tenorite" w:hAnsi="Tenorite"/>
          <w:color w:val="000000"/>
          <w:sz w:val="21"/>
          <w:szCs w:val="21"/>
        </w:rPr>
        <w:t xml:space="preserve">WF-xxx</w:t>
      </w:r>
      <w:r>
        <w:rPr>
          <w:rFonts w:ascii="Tenorite" w:cs="Tenorite" w:eastAsia="Tenorite" w:hAnsi="Tenorite"/>
          <w:color w:val="000000"/>
          <w:sz w:val="21"/>
          <w:szCs w:val="21"/>
        </w:rPr>
        <w:t xml:space="preserve"> (workflow steps), </w:t>
      </w:r>
      <w:r>
        <w:rPr>
          <w:rFonts w:ascii="Tenorite" w:cs="Tenorite" w:eastAsia="Tenorite" w:hAnsi="Tenorite"/>
          <w:color w:val="000000"/>
          <w:sz w:val="21"/>
          <w:szCs w:val="21"/>
        </w:rPr>
        <w:t xml:space="preserve">ENT-xxx</w:t>
      </w:r>
      <w:r>
        <w:rPr>
          <w:rFonts w:ascii="Tenorite" w:cs="Tenorite" w:eastAsia="Tenorite" w:hAnsi="Tenorite"/>
          <w:color w:val="000000"/>
          <w:sz w:val="21"/>
          <w:szCs w:val="21"/>
        </w:rPr>
        <w:t xml:space="preserve"> (domain entities), </w:t>
      </w:r>
      <w:r>
        <w:rPr>
          <w:rFonts w:ascii="Tenorite" w:cs="Tenorite" w:eastAsia="Tenorite" w:hAnsi="Tenorite"/>
          <w:color w:val="000000"/>
          <w:sz w:val="21"/>
          <w:szCs w:val="21"/>
        </w:rPr>
        <w:t xml:space="preserve">EXC-xxx</w:t>
      </w:r>
      <w:r>
        <w:rPr>
          <w:rFonts w:ascii="Tenorite" w:cs="Tenorite" w:eastAsia="Tenorite" w:hAnsi="Tenorite"/>
          <w:color w:val="000000"/>
          <w:sz w:val="21"/>
          <w:szCs w:val="21"/>
        </w:rPr>
        <w:t xml:space="preserve"> (exceptions), </w:t>
      </w:r>
      <w:r>
        <w:rPr>
          <w:rFonts w:ascii="Tenorite" w:cs="Tenorite" w:eastAsia="Tenorite" w:hAnsi="Tenorite"/>
          <w:color w:val="000000"/>
          <w:sz w:val="21"/>
          <w:szCs w:val="21"/>
        </w:rPr>
        <w:t xml:space="preserve">NOTIF-xxx</w:t>
      </w:r>
      <w:r>
        <w:rPr>
          <w:rFonts w:ascii="Tenorite" w:cs="Tenorite" w:eastAsia="Tenorite" w:hAnsi="Tenorite"/>
          <w:color w:val="000000"/>
          <w:sz w:val="21"/>
          <w:szCs w:val="21"/>
        </w:rPr>
        <w:t xml:space="preserve"> (notification templates).</w:t>
      </w:r>
    </w:p>
    <w:p>
      <w:pPr>
        <w:pStyle w:val="Heading2"/>
        <w:spacing w:after="120" w:before="260"/>
      </w:pPr>
      <w:r>
        <w:t xml:space="preserve">Analyst Notes</w:t>
      </w:r>
    </w:p>
    <w:p>
      <w:pPr>
        <w:spacing w:after="160" w:line="300"/>
      </w:pPr>
      <w:r>
        <w:rPr>
          <w:rFonts w:ascii="Tenorite" w:cs="Tenorite" w:eastAsia="Tenorite" w:hAnsi="Tenorite"/>
          <w:color w:val="000000"/>
          <w:sz w:val="21"/>
          <w:szCs w:val="21"/>
        </w:rPr>
        <w:t xml:space="preserve">This document was generated using the </w:t>
      </w:r>
      <w:r>
        <w:rPr>
          <w:rFonts w:ascii="Tenorite" w:cs="Tenorite" w:eastAsia="Tenorite" w:hAnsi="Tenorite"/>
          <w:color w:val="000000"/>
          <w:sz w:val="21"/>
          <w:szCs w:val="21"/>
        </w:rPr>
        <w:t xml:space="preserve">project-overview</w:t>
      </w:r>
      <w:r>
        <w:rPr>
          <w:rFonts w:ascii="Tenorite" w:cs="Tenorite" w:eastAsia="Tenorite" w:hAnsi="Tenorite"/>
          <w:color w:val="000000"/>
          <w:sz w:val="21"/>
          <w:szCs w:val="21"/>
        </w:rPr>
        <w:t xml:space="preserve"> skill, which specifies a strict no-fabrication policy: every claim must trace to a source, inferences must be labeled, and gaps must be stated rather than filled. In practice for this document, that meant: (1) reusing the blueprint's own evidence-classification system (</w:t>
      </w:r>
      <w:r>
        <w:rPr>
          <w:rFonts w:ascii="Tenorite" w:cs="Tenorite" w:eastAsia="Tenorite" w:hAnsi="Tenorite"/>
          <w:color w:val="000000"/>
          <w:sz w:val="21"/>
          <w:szCs w:val="21"/>
        </w:rPr>
        <w:t xml:space="preserve">Explicit</w:t>
      </w:r>
      <w:r>
        <w:rPr>
          <w:rFonts w:ascii="Tenorite" w:cs="Tenorite" w:eastAsia="Tenorite" w:hAnsi="Tenorite"/>
          <w:color w:val="000000"/>
          <w:sz w:val="21"/>
          <w:szCs w:val="21"/>
        </w:rPr>
        <w:t xml:space="preserve">/</w:t>
      </w:r>
      <w:r>
        <w:rPr>
          <w:rFonts w:ascii="Tenorite" w:cs="Tenorite" w:eastAsia="Tenorite" w:hAnsi="Tenorite"/>
          <w:color w:val="000000"/>
          <w:sz w:val="21"/>
          <w:szCs w:val="21"/>
        </w:rPr>
        <w:t xml:space="preserve">Inferred</w:t>
      </w:r>
      <w:r>
        <w:rPr>
          <w:rFonts w:ascii="Tenorite" w:cs="Tenorite" w:eastAsia="Tenorite" w:hAnsi="Tenorite"/>
          <w:color w:val="000000"/>
          <w:sz w:val="21"/>
          <w:szCs w:val="21"/>
        </w:rPr>
        <w:t xml:space="preserve">/</w:t>
      </w:r>
      <w:r>
        <w:rPr>
          <w:rFonts w:ascii="Tenorite" w:cs="Tenorite" w:eastAsia="Tenorite" w:hAnsi="Tenorite"/>
          <w:color w:val="000000"/>
          <w:sz w:val="21"/>
          <w:szCs w:val="21"/>
        </w:rPr>
        <w:t xml:space="preserve">Assumed</w:t>
      </w:r>
      <w:r>
        <w:rPr>
          <w:rFonts w:ascii="Tenorite" w:cs="Tenorite" w:eastAsia="Tenorite" w:hAnsi="Tenorite"/>
          <w:color w:val="000000"/>
          <w:sz w:val="21"/>
          <w:szCs w:val="21"/>
        </w:rPr>
        <w:t xml:space="preserve">, </w:t>
      </w:r>
      <w:r>
        <w:rPr>
          <w:rFonts w:ascii="Tenorite" w:cs="Tenorite" w:eastAsia="Tenorite" w:hAnsi="Tenorite"/>
          <w:color w:val="000000"/>
          <w:sz w:val="21"/>
          <w:szCs w:val="21"/>
        </w:rPr>
        <w:t xml:space="preserve">high</w:t>
      </w:r>
      <w:r>
        <w:rPr>
          <w:rFonts w:ascii="Tenorite" w:cs="Tenorite" w:eastAsia="Tenorite" w:hAnsi="Tenorite"/>
          <w:color w:val="000000"/>
          <w:sz w:val="21"/>
          <w:szCs w:val="21"/>
        </w:rPr>
        <w:t xml:space="preserve">/</w:t>
      </w:r>
      <w:r>
        <w:rPr>
          <w:rFonts w:ascii="Tenorite" w:cs="Tenorite" w:eastAsia="Tenorite" w:hAnsi="Tenorite"/>
          <w:color w:val="000000"/>
          <w:sz w:val="21"/>
          <w:szCs w:val="21"/>
        </w:rPr>
        <w:t xml:space="preserve">medium</w:t>
      </w:r>
      <w:r>
        <w:rPr>
          <w:rFonts w:ascii="Tenorite" w:cs="Tenorite" w:eastAsia="Tenorite" w:hAnsi="Tenorite"/>
          <w:color w:val="000000"/>
          <w:sz w:val="21"/>
          <w:szCs w:val="21"/>
        </w:rPr>
        <w:t xml:space="preserve">/</w:t>
      </w:r>
      <w:r>
        <w:rPr>
          <w:rFonts w:ascii="Tenorite" w:cs="Tenorite" w:eastAsia="Tenorite" w:hAnsi="Tenorite"/>
          <w:color w:val="000000"/>
          <w:sz w:val="21"/>
          <w:szCs w:val="21"/>
        </w:rPr>
        <w:t xml:space="preserve">low</w:t>
      </w:r>
      <w:r>
        <w:rPr>
          <w:rFonts w:ascii="Tenorite" w:cs="Tenorite" w:eastAsia="Tenorite" w:hAnsi="Tenorite"/>
          <w:color w:val="000000"/>
          <w:sz w:val="21"/>
          <w:szCs w:val="21"/>
        </w:rPr>
        <w:t xml:space="preserve"> confidence) rather than re-deriving a new one; (2) explicitly declining to state priorities or success metrics because the source corpus does not define them, rather than inventing plausible-sounding ones; and (3) surfacing the blueprint's own self-reported limitations (thin evidence on search/filter/dashboard/feature-toggle framework, the third-party-approximate design system, synthetic mock data) rather than smoothing over them. Given the scale of the underlying corpus (over 2.5MB of markdown across the largest blueprint files alone), large itemized catalogues were condensed to representative examples with counts and citations rather than reproduced in full — a reader needing the complete, unabridged catalogue for any section should open the corresponding </w:t>
      </w:r>
      <w:r>
        <w:rPr>
          <w:rFonts w:ascii="Tenorite" w:cs="Tenorite" w:eastAsia="Tenorite" w:hAnsi="Tenorite"/>
          <w:color w:val="000000"/>
          <w:sz w:val="21"/>
          <w:szCs w:val="21"/>
        </w:rPr>
        <w:t xml:space="preserve">reference/blueprint/*.md</w:t>
      </w:r>
      <w:r>
        <w:rPr>
          <w:rFonts w:ascii="Tenorite" w:cs="Tenorite" w:eastAsia="Tenorite" w:hAnsi="Tenorite"/>
          <w:color w:val="000000"/>
          <w:sz w:val="21"/>
          <w:szCs w:val="21"/>
        </w:rPr>
        <w:t xml:space="preserve"> file directly, per the citations above.</w:t>
      </w:r>
    </w:p>
    <w:p>
      <w:r>
        <w:br w:type="page"/>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enorite" w:cs="Tenorite" w:eastAsia="Tenorite" w:hAnsi="Tenorite"/>
        <w:color w:val="595959"/>
        <w:sz w:val="16"/>
        <w:szCs w:val="16"/>
      </w:rPr>
      <w:t xml:space="preserve">Page </w:t>
    </w:r>
    <w:r>
      <w:rPr>
        <w:rFonts w:ascii="Tenorite" w:cs="Tenorite" w:eastAsia="Tenorite" w:hAnsi="Tenorite"/>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enorite" w:cs="Tenorite" w:eastAsia="Tenorite" w:hAnsi="Tenorite"/>
        <w:color w:val="595959"/>
        <w:sz w:val="16"/>
        <w:szCs w:val="16"/>
      </w:rPr>
      <w:t xml:space="preserve">VFQ DXP — Project Overview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enorite" w:cs="Tenorite" w:eastAsia="Tenorite" w:hAnsi="Tenorite"/>
        <w:color w:val="000000"/>
        <w:sz w:val="21"/>
        <w:szCs w:val="21"/>
      </w:rPr>
    </w:rPrDefault>
    <w:pPrDefault/>
  </w:docDefaults>
  <w:style w:type="paragraph" w:styleId="Title">
    <w:name w:val="Title"/>
    <w:basedOn w:val="Normal"/>
    <w:next w:val="Normal"/>
    <w:qFormat/>
    <w:pPr>
      <w:spacing w:after="160"/>
    </w:pPr>
    <w:rPr>
      <w:rFonts w:ascii="Aptos Display" w:cs="Aptos Display" w:eastAsia="Aptos Display" w:hAnsi="Aptos Display"/>
      <w:b/>
      <w:bCs/>
      <w:color w:val="7030A0"/>
      <w:sz w:val="48"/>
      <w:szCs w:val="48"/>
    </w:rPr>
  </w:style>
  <w:style w:type="paragraph" w:styleId="Heading1">
    <w:name w:val="Heading 1"/>
    <w:basedOn w:val="Normal"/>
    <w:next w:val="Normal"/>
    <w:qFormat/>
    <w:rPr>
      <w:rFonts w:ascii="Aptos Display" w:cs="Aptos Display" w:eastAsia="Aptos Display" w:hAnsi="Aptos Display"/>
      <w:b/>
      <w:bCs/>
      <w:color w:val="7030A0"/>
      <w:sz w:val="36"/>
      <w:szCs w:val="36"/>
    </w:rPr>
  </w:style>
  <w:style w:type="paragraph" w:styleId="Heading2">
    <w:name w:val="Heading 2"/>
    <w:basedOn w:val="Normal"/>
    <w:next w:val="Normal"/>
    <w:qFormat/>
    <w:rPr>
      <w:rFonts w:ascii="Aptos Display" w:cs="Aptos Display" w:eastAsia="Aptos Display" w:hAnsi="Aptos Display"/>
      <w:b/>
      <w:bCs/>
      <w:color w:val="7030A0"/>
      <w:sz w:val="28"/>
      <w:szCs w:val="28"/>
    </w:rPr>
  </w:style>
  <w:style w:type="paragraph" w:styleId="Heading3">
    <w:name w:val="Heading 3"/>
    <w:basedOn w:val="Normal"/>
    <w:next w:val="Normal"/>
    <w:qFormat/>
    <w:rPr>
      <w:rFonts w:ascii="Tenorite" w:cs="Tenorite" w:eastAsia="Tenorite" w:hAnsi="Tenorite"/>
      <w:b/>
      <w:bCs/>
      <w:color w:val="7030A0"/>
      <w:sz w:val="24"/>
      <w:szCs w:val="24"/>
    </w:rPr>
  </w:style>
  <w:style w:type="paragraph" w:styleId="Heading4">
    <w:name w:val="Heading 4"/>
    <w:basedOn w:val="Normal"/>
    <w:next w:val="Normal"/>
    <w:qFormat/>
    <w:rPr>
      <w:rFonts w:ascii="Tenorite" w:cs="Tenorite" w:eastAsia="Tenorite" w:hAnsi="Tenorite"/>
      <w:b w:val="false"/>
      <w:bCs w:val="false"/>
      <w:color w:val="7030A0"/>
      <w:sz w:val="24"/>
      <w:szCs w:val="24"/>
    </w:rPr>
  </w:style>
  <w:style w:type="paragraph" w:styleId="Heading5">
    <w:name w:val="Heading 5"/>
    <w:basedOn w:val="Normal"/>
    <w:next w:val="Normal"/>
    <w:qFormat/>
    <w:rPr>
      <w:rFonts w:ascii="Tenorite" w:cs="Tenorite" w:eastAsia="Tenorite" w:hAnsi="Tenorite"/>
      <w:b w:val="false"/>
      <w:bCs w:val="false"/>
      <w:color w:val="156082"/>
      <w:sz w:val="24"/>
      <w:szCs w:val="24"/>
    </w:rPr>
  </w:style>
  <w:style w:type="paragraph" w:styleId="Heading6">
    <w:name w:val="Heading 6"/>
    <w:basedOn w:val="Normal"/>
    <w:next w:val="Normal"/>
    <w:qFormat/>
    <w:rPr>
      <w:rFonts w:ascii="Tenorite" w:cs="Tenorite" w:eastAsia="Tenorite" w:hAnsi="Tenorite"/>
      <w:b w:val="false"/>
      <w:bCs w:val="false"/>
      <w:color w:val="595959"/>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67886"/>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VFQ DXP Stack Modernization — Project Overview</dc:title>
  <dc:creator>Claude (project-overview skill)</dc:creator>
  <dc:description>Consolidated project overview generated from the vfq-dxp-app reference application and its reconstruction blueprint. Wipro brand styling applied.</dc:description>
  <cp:lastModifiedBy>Un-named</cp:lastModifiedBy>
  <cp:revision>1</cp:revision>
  <dcterms:created xsi:type="dcterms:W3CDTF">2026-09-01T09:49:32.694Z</dcterms:created>
  <dcterms:modified xsi:type="dcterms:W3CDTF">2026-09-01T09:49:32.695Z</dcterms:modified>
</cp:coreProperties>
</file>

<file path=docProps/custom.xml><?xml version="1.0" encoding="utf-8"?>
<Properties xmlns="http://schemas.openxmlformats.org/officeDocument/2006/custom-properties" xmlns:vt="http://schemas.openxmlformats.org/officeDocument/2006/docPropsVTypes"/>
</file>