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F4E79"/>
          <w:sz w:val="68"/>
        </w:rPr>
        <w:t>Vodafone Qatar DXP</w:t>
      </w:r>
    </w:p>
    <w:p>
      <w:pPr>
        <w:jc w:val="center"/>
      </w:pPr>
      <w:r>
        <w:rPr>
          <w:rFonts w:ascii="Arial" w:hAnsi="Arial"/>
          <w:color w:val="2E75B6"/>
          <w:sz w:val="32"/>
        </w:rPr>
        <w:t>Technical &amp; Information Architecture</w:t>
      </w:r>
    </w:p>
    <w:p>
      <w:pPr>
        <w:jc w:val="center"/>
      </w:pPr>
      <w:r>
        <w:rPr>
          <w:i/>
          <w:sz w:val="22"/>
        </w:rPr>
        <w:t>Front-end-only reconstruction of the Vodafone Qatar CRM/CVM Digital Experience Platform</w:t>
      </w:r>
    </w:p>
    <w:p/>
    <w:p/>
    <w:p>
      <w:pPr>
        <w:jc w:val="center"/>
      </w:pPr>
      <w:r>
        <w:rPr>
          <w:color w:val="666666"/>
          <w:sz w:val="20"/>
        </w:rPr>
        <w:t>Repository: local blueprint (blueprint/reconstruction-package/) — no live codebase exists yet</w:t>
      </w:r>
    </w:p>
    <w:p>
      <w:pPr>
        <w:jc w:val="center"/>
      </w:pPr>
      <w:r>
        <w:rPr>
          <w:color w:val="666666"/>
          <w:sz w:val="20"/>
        </w:rPr>
        <w:t>Version: Blueprint v1.0 (Stage D/E)</w:t>
      </w:r>
    </w:p>
    <w:p>
      <w:pPr>
        <w:jc w:val="center"/>
      </w:pPr>
      <w:r>
        <w:rPr>
          <w:color w:val="666666"/>
          <w:sz w:val="20"/>
        </w:rPr>
        <w:t>Date: 23 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Vodafone Qatar DXP is a planned replacement for the legacy Siebel/ECR/VSA CRM stack, rebuilt here as a production-ready, front-end-only React application: no APIs, backend services, databases, or third-party integrations. Every workflow, business rule, validation, permission, calculation, approval, and state transition is simulated entirely in front-end logic.</w:t>
      </w:r>
    </w:p>
    <w:p>
      <w:r>
        <w:t>The platform serves 66 evidenced personas (retail sales agents, fulfilment agents, managers/approvers, credit control, back office, and more) across 16 functional modules — Lead Management, Mobile Postpaid/Prepaid, Fixed Line/Fibre, FWA/5G Home, MNP/FNP Porting, Enterprise/IoT/B2B, Billing &amp; Adjustments, Order Management, Identity &amp; Customer Management, SIM &amp; Number Management, Trouble Ticketing, Access/Roles/Approval Governance, CAF/Attachments &amp; Forms, and Platform Governance — comprising 213 screens built from 111 end-to-end user journeys.</w:t>
      </w:r>
    </w:p>
    <w:p>
      <w:r>
        <w:t>This document's two diagrams are synthesized from a 4-stage evidence-backed reconstruction blueprint (`blueprint/`), not from a scan of existing code — no implementation exists yet. The Technical Architecture diagram shows the recommended system shape (5 simulation engines standing in for what a real backend/auth-server/rules-engine would normally provide). The Information Architecture diagram shows the navigation hierarchy (16 modules → sub-modules → screens) and the core entity relationships underlying the domain model.</w:t>
      </w:r>
    </w:p>
    <w:p>
      <w:pPr>
        <w:pStyle w:val="Heading1"/>
      </w:pPr>
      <w:r>
        <w:t>2. Technology &amp; Tooling Inventory</w:t>
      </w:r>
    </w:p>
    <w:p>
      <w:r>
        <w:t>No target tech stack is evidenced anywhere in the 83-document source corpus (the corpus's only UI evidence is screenshots of the legacy Siebel/Open UI system being replaced). Every technology below is therefore a recommended default from the Stage D architecture blueprint (`blueprint/reconstruction-package/docs/frontend-architecture.md`), not a confirmed fact — see `assumptions`.</w:t>
      </w:r>
    </w:p>
    <w:p>
      <w:pPr>
        <w:pStyle w:val="Heading2"/>
      </w:pPr>
      <w:r>
        <w:t>Languages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TypeScript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5.x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Primary application language — compile-time safety across the ~1,700 generated config/data records</w:t>
            </w:r>
          </w:p>
        </w:tc>
      </w:tr>
    </w:tbl>
    <w:p/>
    <w:p>
      <w:pPr>
        <w:pStyle w:val="Heading2"/>
      </w:pPr>
      <w:r>
        <w:t>Frameworks &amp; Runtimes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React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Component-based SPA UI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React Router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Client-side routing (213 routes, one per catalogued screen)</w:t>
            </w:r>
          </w:p>
        </w:tc>
      </w:tr>
    </w:tbl>
    <w:p/>
    <w:p>
      <w:pPr>
        <w:pStyle w:val="Heading2"/>
      </w:pPr>
      <w:r>
        <w:t>Key Libraries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Zustand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State management (one store per bounded context: persona, entity, workflow, notification, config)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React Hook Form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Schema-driven form handling for the 970-field inventory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Tailwind CSS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Utility styling; no design system was evidenced in the source corpus</w:t>
            </w:r>
          </w:p>
        </w:tc>
      </w:tr>
    </w:tbl>
    <w:p/>
    <w:p>
      <w:pPr>
        <w:pStyle w:val="Heading2"/>
      </w:pPr>
      <w:r>
        <w:t>Data Stores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IndexedDB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Mock Data Engine's persisted ‘database’ (customers, accounts, orders, etc.) — simulates a backend entirely client-side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localStorage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Persona selection + config persistence across reloads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sessionStorage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In-progress wizard/journey draft state (matches evidenced ‘resume from last milestone’ behavior)</w:t>
            </w:r>
          </w:p>
        </w:tc>
      </w:tr>
    </w:tbl>
    <w:p/>
    <w:p>
      <w:pPr>
        <w:pStyle w:val="Heading2"/>
      </w:pPr>
      <w:r>
        <w:t>Infrastructure &amp; Hosting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Vite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Build tool — static SPA bundle, no server runtime required</w:t>
            </w:r>
          </w:p>
        </w:tc>
      </w:tr>
    </w:tbl>
    <w:p/>
    <w:p>
      <w:pPr>
        <w:pStyle w:val="Heading2"/>
      </w:pPr>
      <w:r>
        <w:t>Build &amp; Dev Tooling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21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24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26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Vite dev server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524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Local development / HMR</w:t>
            </w:r>
          </w:p>
        </w:tc>
      </w:tr>
    </w:tbl>
    <w:p/>
    <w:p>
      <w:pPr>
        <w:pStyle w:val="Heading1"/>
      </w:pPr>
      <w:r>
        <w:t>3. Technical Architecture</w:t>
      </w:r>
    </w:p>
    <w:p>
      <w:r>
        <w:t>There is no backend by design (per the project's front-end-only constraint). Five simulation engines take the place of what a real backend/rules-engine/auth-server would normally provide, each reading from generated, evidence-backed configuration JSON rather than hardcoded logic: the Configuration Engine loads all config at boot; the Persona Engine simulates authentication/authorization by filtering navigation and screen/action visibility against the RBAC Matrix (145 evidenced entries); the Rule Engine evaluates the 346-entry Business Rule catalogue (eligibility, thresholds, calculations); the Validation Engine evaluates the 418-entry Validation catalogue at the field level; and the Mock Data Engine simulates CRUD persistence (with artificial latency and referential-integrity checks) against IndexedDB, standing in for a real database. Screen components (organized into 16 modules) compose a small set of shared UI patterns rather than being built bespoke — see `blueprint/reconstruction-package/docs/reusable-patterns.md`'s 18 evidence-backed patterns.</w:t>
      </w:r>
    </w:p>
    <w:p>
      <w:pPr>
        <w:pStyle w:val="Heading2"/>
      </w:pPr>
      <w:r>
        <w:t>3.1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13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Technical Architecture</w:t>
      </w:r>
    </w:p>
    <w:p>
      <w:pPr>
        <w:pStyle w:val="Heading2"/>
      </w:pPr>
      <w:r>
        <w:t>3.2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9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44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Screen Components (16 modules, 213 screens)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React + TypeScript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Compose shared UI patterns into the catalogued screens; no bespoke business logic — delegates to the engines below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Navigation / Router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React Router v6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Client-side routing generated from routes.json; sidebar/breadcrumb navigation filtered by the active persona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Persona Engine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TypeScript module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Simulates authentication/authorization: tracks the active persona and filters visible routes/actions via the RBAC Matrix (no real login exists)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Rule Engine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TypeScript module + JSON rule catalogue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Evaluates business rules (eligibility, thresholds, calculations) from business-rules.json; falls back to a visible dev-mode warning for any rule without a registered implementation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Validation Engine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TypeScript module + React Hook Form resolvers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Evaluates field-level validation rules from validation-rules.json against the 970-entry Field Inventory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Mock Data Engine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TypeScript module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Simulates a backend: CRUD operations with artificial latency, referential-integrity checks, and entity lifecycle-state transitions, entirely in-browser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Configuration Engine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TypeScript module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Boot-time loader exposing typed accessors over all config/*.json — no screen imports config JSON directly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Zustand Stores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datastore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Zustand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In-memory application state, one store per bounded context (persona, entity, workflow, notification, config)</w:t>
            </w:r>
          </w:p>
        </w:tc>
      </w:tr>
      <w:tr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Browser Persistence (IndexedDB / localStorage / sessionStorage)</w:t>
            </w:r>
          </w:p>
        </w:tc>
        <w:tc>
          <w:tcPr>
            <w:tcW w:type="dxa" w:w="149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datastore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Web Storage APIs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Durability layer standing in for a real database — survives reloads within a session</w:t>
            </w:r>
          </w:p>
        </w:tc>
      </w:tr>
    </w:tbl>
    <w:p/>
    <w:p>
      <w:pPr>
        <w:pStyle w:val="Heading2"/>
      </w:pPr>
      <w:r>
        <w:t>3.3 Data 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187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</w:t>
            </w:r>
          </w:p>
        </w:tc>
        <w:tc>
          <w:tcPr>
            <w:tcW w:type="dxa" w:w="1404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4212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Persona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Navigation / Router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Filters visible modules/routes/actions by the active persona's RBAC entries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Screen Components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Validation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Resolves field-level validation rules per screen/field before submit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Screen Components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Rule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Evaluates eligibility/threshold/calculation business rules (e.g. Bill Limit Agent Minimum) during a guided journey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Screen Components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Mock Data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in-memory async (simulated latency)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CRUD reads/writes against the simulated backend (customers, accounts, orders, tickets, leads)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Mock Data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Browser Persistence (IndexedDB)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IndexedDB API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Persists entity records; enforces evidenced lifecycle-state transitions (e.g. Billing Profile: good standing → overdue → in collection → blacklisted)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Zustand Stores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Browser Persistence (localStorage/sessionStorage)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Web Storage API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Persists active persona and in-progress wizard/journey draft state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Configuration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Persona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Supplies personas.json + rbac.json at boot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Configuration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Rule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Supplies business-rules.json at boot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Configuration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Validation Engine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Supplies validation-rules.json at boot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Configuration Engine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Navigation / Router</w:t>
            </w:r>
          </w:p>
        </w:tc>
        <w:tc>
          <w:tcPr>
            <w:tcW w:type="dxa" w:w="14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in-memory call</w:t>
            </w:r>
          </w:p>
        </w:tc>
        <w:tc>
          <w:tcPr>
            <w:tcW w:type="dxa" w:w="42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Supplies routes.json + module-hierarchy.json at boot</w:t>
            </w:r>
          </w:p>
        </w:tc>
      </w:tr>
    </w:tbl>
    <w:p/>
    <w:p>
      <w:pPr>
        <w:pStyle w:val="Heading2"/>
      </w:pPr>
      <w:r>
        <w:t>3.4 Deployment &amp; Runtime</w:t>
      </w:r>
    </w:p>
    <w:p>
      <w:r>
        <w:t>Static single-page application, built with Vite, deployable to any static host or CDN (e.g. object storage + CDN) — no server runtime, container, or database is required at any environment tier. This is an architectural consequence of the project's explicit front-end-only constraint, not evidenced by the source corpus (which describes the legacy Siebel/ECR/VSA deployment, being replaced, not the new DXP's deployment target). CI/CD would be a standard static-build-and-deploy pipeline.</w:t>
      </w:r>
    </w:p>
    <w:p>
      <w:pPr>
        <w:pStyle w:val="Heading1"/>
      </w:pPr>
      <w:r>
        <w:t>4. Information Architecture</w:t>
      </w:r>
    </w:p>
    <w:p>
      <w:r>
        <w:t>The application's information architecture is Platform → Module → Sub-Module → Screen → Component → Action, derived from the 16-module hierarchy synthesized from 111 journeys, 308 requirements, and 83 entities (`blueprint/module-hierarchy.md`). Primary navigation is the 16 modules (sidebar, filtered by the active persona's RBAC entries); secondary navigation is a module's sub-modules and screens. Screen-to-module assignment (`blueprint/reconstruction-package/config/routes.json`) is a deterministic keyword match against each module's capability list — a strong starting point, not a confirmed final IA. Full screen-by-screen detail (213 entries) lives in `blueprint/screens.md`; this diagram shows the module/sub-module tier with representative screen counts rather than all 213 leaf nodes, which would not be legible in a single diagram. (The diagram below shows the Platform → Module tier only, for legibility; the Module → Sub-Module → Screen tier is detailed in the navigation table above and in full in `blueprint/module-hierarchy.md` and `blueprint/screens.md`.)</w:t>
      </w:r>
    </w:p>
    <w:p>
      <w:pPr>
        <w:pStyle w:val="Heading2"/>
      </w:pPr>
      <w:r>
        <w:t>4.1 Information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645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Information Architecture</w:t>
      </w:r>
    </w:p>
    <w:p>
      <w:pPr>
        <w:pStyle w:val="Heading2"/>
      </w:pPr>
      <w:r>
        <w:t>4.2 Navigation &amp; Screen Hierarchy</w:t>
      </w:r>
    </w:p>
    <w:p>
      <w:pPr>
        <w:pStyle w:val="ListBullet"/>
      </w:pPr>
      <w:r>
        <w:t>Lead Management  (/lead-management) — 15 screens</w:t>
      </w:r>
    </w:p>
    <w:p>
      <w:pPr>
        <w:pStyle w:val="ListBullet2"/>
      </w:pPr>
      <w:r>
        <w:t>Lead Creation &amp; Qualification  (/lead-management/lead-creation) — Create/edit/reassign leads across 4 personas</w:t>
      </w:r>
    </w:p>
    <w:p>
      <w:pPr>
        <w:pStyle w:val="ListBullet2"/>
      </w:pPr>
      <w:r>
        <w:t>Cross Sales Conversion  (/lead-management/cross-sales) — Campaign offer acceptance → guided journey handoff</w:t>
      </w:r>
    </w:p>
    <w:p>
      <w:pPr>
        <w:pStyle w:val="ListBullet"/>
      </w:pPr>
      <w:r>
        <w:t>Mobile Postpaid  (/mobile-postpaid) — 22 screens</w:t>
      </w:r>
    </w:p>
    <w:p>
      <w:pPr>
        <w:pStyle w:val="ListBullet2"/>
      </w:pPr>
      <w:r>
        <w:t>New Postpaid Activation  (/mobile-postpaid/new-activation) — Guided wizard: Contact→Plan→Number→SIM→CAF</w:t>
      </w:r>
    </w:p>
    <w:p>
      <w:pPr>
        <w:pStyle w:val="ListBullet2"/>
      </w:pPr>
      <w:r>
        <w:t>Postpaid Service Management  (/mobile-postpaid/service-management) — Plan changes, add-ons, credit limit edits</w:t>
      </w:r>
    </w:p>
    <w:p>
      <w:pPr>
        <w:pStyle w:val="ListBullet2"/>
      </w:pPr>
      <w:r>
        <w:t>Device Installment  (/mobile-postpaid/device-installment) — DOI plan management</w:t>
      </w:r>
    </w:p>
    <w:p>
      <w:pPr>
        <w:pStyle w:val="ListBullet"/>
      </w:pPr>
      <w:r>
        <w:t>Mobile Prepaid  (/mobile-prepaid) — Fully Defined module (build-readiness.md)</w:t>
      </w:r>
    </w:p>
    <w:p>
      <w:pPr>
        <w:pStyle w:val="ListBullet2"/>
      </w:pPr>
      <w:r>
        <w:t>Prepaid Activation  (/mobile-prepaid/activation) — New Prepaid guided wizard</w:t>
      </w:r>
    </w:p>
    <w:p>
      <w:pPr>
        <w:pStyle w:val="ListBullet"/>
      </w:pPr>
      <w:r>
        <w:t>Pre-to-Post Migration  (/pre-to-post-migration) — 15 screens</w:t>
      </w:r>
    </w:p>
    <w:p>
      <w:pPr>
        <w:pStyle w:val="ListBullet2"/>
      </w:pPr>
      <w:r>
        <w:t>Prepaid to Postpaid Conversion  (/pre-to-post-migration/pre-to-post) — Manual + Autobase (Unica-sourced) migration</w:t>
      </w:r>
    </w:p>
    <w:p>
      <w:pPr>
        <w:pStyle w:val="ListBullet2"/>
      </w:pPr>
      <w:r>
        <w:t>Postpaid to Prepaid Conversion  (/pre-to-post-migration/post-to-pre) — Reverse migration flow</w:t>
      </w:r>
    </w:p>
    <w:p>
      <w:pPr>
        <w:pStyle w:val="ListBullet2"/>
      </w:pPr>
      <w:r>
        <w:t>Connection Count Validation  (/pre-to-post-migration/connection-count) — Multi-connection eligibility checks</w:t>
      </w:r>
    </w:p>
    <w:p>
      <w:pPr>
        <w:pStyle w:val="ListBullet"/>
      </w:pPr>
      <w:r>
        <w:t>MNP / FNP Porting  (/mnp-fnp-porting) — 17 screens</w:t>
      </w:r>
    </w:p>
    <w:p>
      <w:pPr>
        <w:pStyle w:val="ListBullet2"/>
      </w:pPr>
      <w:r>
        <w:t>MNP Port-In  (/mnp-fnp-porting/mnp-port-in) — Mobile number port-in (postpaid/prepaid)</w:t>
      </w:r>
    </w:p>
    <w:p>
      <w:pPr>
        <w:pStyle w:val="ListBullet2"/>
      </w:pPr>
      <w:r>
        <w:t>FNP Port-In  (/mnp-fnp-porting/fnp-port-in) — Fixed number port-in</w:t>
      </w:r>
    </w:p>
    <w:p>
      <w:pPr>
        <w:pStyle w:val="ListBullet2"/>
      </w:pPr>
      <w:r>
        <w:t>Post-Port Billing  (/mnp-fnp-porting/post-port-billing) — Dunning ladder after port-in</w:t>
      </w:r>
    </w:p>
    <w:p>
      <w:pPr>
        <w:pStyle w:val="ListBullet2"/>
      </w:pPr>
      <w:r>
        <w:t>Port-Out Handling  (/mnp-fnp-porting/port-out) — Outbound porting</w:t>
      </w:r>
    </w:p>
    <w:p>
      <w:pPr>
        <w:pStyle w:val="ListBullet"/>
      </w:pPr>
      <w:r>
        <w:t>Fixed Line / Fibre  (/fixed-line-fibre) — 49 screens — largest module</w:t>
      </w:r>
    </w:p>
    <w:p>
      <w:pPr>
        <w:pStyle w:val="ListBullet2"/>
      </w:pPr>
      <w:r>
        <w:t>Fixed Line Activation  (/fixed-line-fibre/activation) — Triple Play, KID lookup, WFM appointment</w:t>
      </w:r>
    </w:p>
    <w:p>
      <w:pPr>
        <w:pStyle w:val="ListBullet2"/>
      </w:pPr>
      <w:r>
        <w:t>Digital Self-Service Fiber  (/fixed-line-fibre/digital-self-service) — Instant activation, eKYC</w:t>
      </w:r>
    </w:p>
    <w:p>
      <w:pPr>
        <w:pStyle w:val="ListBullet2"/>
      </w:pPr>
      <w:r>
        <w:t>Fixed Line Migration &amp; Termination  (/fixed-line-fibre/migration-termination)</w:t>
      </w:r>
    </w:p>
    <w:p>
      <w:pPr>
        <w:pStyle w:val="ListBullet2"/>
      </w:pPr>
      <w:r>
        <w:t>GigaHome / OSNtv Subscription  (/fixed-line-fibre/gigahome-osntv) — Subscription Acceptance Form flows</w:t>
      </w:r>
    </w:p>
    <w:p>
      <w:pPr>
        <w:pStyle w:val="ListBullet2"/>
      </w:pPr>
      <w:r>
        <w:t>Home Move  (/fixed-line-fibre/home-move) — Fixed-to-Fixed relocation</w:t>
      </w:r>
    </w:p>
    <w:p>
      <w:pPr>
        <w:pStyle w:val="ListBullet"/>
      </w:pPr>
      <w:r>
        <w:t>FWA / 5G Home  (/fwa-5g-home) — 44 screens</w:t>
      </w:r>
    </w:p>
    <w:p>
      <w:pPr>
        <w:pStyle w:val="ListBullet2"/>
      </w:pPr>
      <w:r>
        <w:t>FWA Indoor/Outdoor Activation  (/fwa-5g-home/activation) — Desktop Vanilla + Open UI variants</w:t>
      </w:r>
    </w:p>
    <w:p>
      <w:pPr>
        <w:pStyle w:val="ListBullet2"/>
      </w:pPr>
      <w:r>
        <w:t>FWA Tablet Channel  (/fwa-5g-home/tablet) — B2B2C, With/Without Approval variants</w:t>
      </w:r>
    </w:p>
    <w:p>
      <w:pPr>
        <w:pStyle w:val="ListBullet2"/>
      </w:pPr>
      <w:r>
        <w:t>CPE Configuration &amp; Field Fulfilment  (/fwa-5g-home/cpe-fulfilment) — WFM/Oracle Field Service installation</w:t>
      </w:r>
    </w:p>
    <w:p>
      <w:pPr>
        <w:pStyle w:val="ListBullet"/>
      </w:pPr>
      <w:r>
        <w:t>Enterprise / IoT / B2B  (/enterprise-iot-b2b) — 6 screens</w:t>
      </w:r>
    </w:p>
    <w:p>
      <w:pPr>
        <w:pStyle w:val="ListBullet2"/>
      </w:pPr>
      <w:r>
        <w:t>Enterprise Account Management  (/enterprise-iot-b2b/account-management) — Parent/sub-account, choosers</w:t>
      </w:r>
    </w:p>
    <w:p>
      <w:pPr>
        <w:pStyle w:val="ListBullet2"/>
      </w:pPr>
      <w:r>
        <w:t>Bulk Operations  (/enterprise-iot-b2b/bulk-operations) — Bulk SMS, DAPN, PTT provisioning</w:t>
      </w:r>
    </w:p>
    <w:p>
      <w:pPr>
        <w:pStyle w:val="ListBullet2"/>
      </w:pPr>
      <w:r>
        <w:t>B2B2C Employer Association  (/enterprise-iot-b2b/b2b2c) — Employer-sponsored consumer plans</w:t>
      </w:r>
    </w:p>
    <w:p>
      <w:pPr>
        <w:pStyle w:val="ListBullet"/>
      </w:pPr>
      <w:r>
        <w:t>Billing &amp; Adjustments  (/billing-adjustments) — 3 screens — Missing readiness (zero linked journeys)</w:t>
      </w:r>
    </w:p>
    <w:p>
      <w:pPr>
        <w:pStyle w:val="ListBullet2"/>
      </w:pPr>
      <w:r>
        <w:t>Billing Profile Management  (/billing-adjustments/billing-profile)</w:t>
      </w:r>
    </w:p>
    <w:p>
      <w:pPr>
        <w:pStyle w:val="ListBullet2"/>
      </w:pPr>
      <w:r>
        <w:t>Bill Viewing &amp; Simulation  (/billing-adjustments/bill-viewing)</w:t>
      </w:r>
    </w:p>
    <w:p>
      <w:pPr>
        <w:pStyle w:val="ListBullet2"/>
      </w:pPr>
      <w:r>
        <w:t>Deposit &amp; Credit Management  (/billing-adjustments/deposit-credit)</w:t>
      </w:r>
    </w:p>
    <w:p>
      <w:pPr>
        <w:pStyle w:val="ListBullet"/>
      </w:pPr>
      <w:r>
        <w:t>Order Management  (/order-management) — 15 screens</w:t>
      </w:r>
    </w:p>
    <w:p>
      <w:pPr>
        <w:pStyle w:val="ListBullet2"/>
      </w:pPr>
      <w:r>
        <w:t>Order Approval Workflow  (/order-management/approval) — Approve / Reject-Correction / Reject-Drop</w:t>
      </w:r>
    </w:p>
    <w:p>
      <w:pPr>
        <w:pStyle w:val="ListBullet2"/>
      </w:pPr>
      <w:r>
        <w:t>Order Lifecycle &amp; Status  (/order-management/lifecycle)</w:t>
      </w:r>
    </w:p>
    <w:p>
      <w:pPr>
        <w:pStyle w:val="ListBullet2"/>
      </w:pPr>
      <w:r>
        <w:t>Future Dated Orders  (/order-management/future-dated) — 30-day max, status model</w:t>
      </w:r>
    </w:p>
    <w:p>
      <w:pPr>
        <w:pStyle w:val="ListBullet"/>
      </w:pPr>
      <w:r>
        <w:t>Identity &amp; Customer Management  (/identity-customer-management) — 6 screens</w:t>
      </w:r>
    </w:p>
    <w:p>
      <w:pPr>
        <w:pStyle w:val="ListBullet2"/>
      </w:pPr>
      <w:r>
        <w:t>Identity Validation  (/identity-customer-management/identity-validation) — QID/MOI validation</w:t>
      </w:r>
    </w:p>
    <w:p>
      <w:pPr>
        <w:pStyle w:val="ListBullet2"/>
      </w:pPr>
      <w:r>
        <w:t>Passport to QID Update  (/identity-customer-management/passport-to-qid)</w:t>
      </w:r>
    </w:p>
    <w:p>
      <w:pPr>
        <w:pStyle w:val="ListBullet2"/>
      </w:pPr>
      <w:r>
        <w:t>Customer 360  (/identity-customer-management/customer-360)</w:t>
      </w:r>
    </w:p>
    <w:p>
      <w:pPr>
        <w:pStyle w:val="ListBullet"/>
      </w:pPr>
      <w:r>
        <w:t>SIM &amp; Number Management  (/sim-number-management) — 7 screens</w:t>
      </w:r>
    </w:p>
    <w:p>
      <w:pPr>
        <w:pStyle w:val="ListBullet2"/>
      </w:pPr>
      <w:r>
        <w:t>SIM Swap  (/sim-number-management/sim-swap) — OCR→barcode→MOI→CBS chain</w:t>
      </w:r>
    </w:p>
    <w:p>
      <w:pPr>
        <w:pStyle w:val="ListBullet2"/>
      </w:pPr>
      <w:r>
        <w:t>Number Management  (/sim-number-management/number-management)</w:t>
      </w:r>
    </w:p>
    <w:p>
      <w:pPr>
        <w:pStyle w:val="ListBullet2"/>
      </w:pPr>
      <w:r>
        <w:t>Transfer of Ownership / Number  (/sim-number-management/ton)</w:t>
      </w:r>
    </w:p>
    <w:p>
      <w:pPr>
        <w:pStyle w:val="ListBullet"/>
      </w:pPr>
      <w:r>
        <w:t>Trouble Ticketing &amp; Complaints  (/trouble-ticketing-complaints) — 5 screens</w:t>
      </w:r>
    </w:p>
    <w:p>
      <w:pPr>
        <w:pStyle w:val="ListBullet2"/>
      </w:pPr>
      <w:r>
        <w:t>Ticket Creation &amp; Handling  (/trouble-ticketing-complaints/ticket-handling)</w:t>
      </w:r>
    </w:p>
    <w:p>
      <w:pPr>
        <w:pStyle w:val="ListBullet2"/>
      </w:pPr>
      <w:r>
        <w:t>Disconnection  (/trouble-ticketing-complaints/disconnection)</w:t>
      </w:r>
    </w:p>
    <w:p>
      <w:pPr>
        <w:pStyle w:val="ListBullet"/>
      </w:pPr>
      <w:r>
        <w:t>Access, Roles &amp; Approval Governance  (/access-roles-approval-governance) — 3 screens — High Risk readiness</w:t>
      </w:r>
    </w:p>
    <w:p>
      <w:pPr>
        <w:pStyle w:val="ListBullet2"/>
      </w:pPr>
      <w:r>
        <w:t>Role-Based Access Control  (/access-roles-approval-governance/rbac)</w:t>
      </w:r>
    </w:p>
    <w:p>
      <w:pPr>
        <w:pStyle w:val="ListBullet"/>
      </w:pPr>
      <w:r>
        <w:t>CAF, Attachments &amp; Forms  (/caf-attachments-forms) — 5 screens — Missing readiness (zero linked journeys)</w:t>
      </w:r>
    </w:p>
    <w:p>
      <w:pPr>
        <w:pStyle w:val="ListBullet2"/>
      </w:pPr>
      <w:r>
        <w:t>CAF Lifecycle  (/caf-attachments-forms/caf-lifecycle) — Digital/Manual/Touch Screen signature</w:t>
      </w:r>
    </w:p>
    <w:p>
      <w:pPr>
        <w:pStyle w:val="ListBullet"/>
      </w:pPr>
      <w:r>
        <w:t>Platform Governance &amp; Architecture  (/platform-governance-architecture) — 1 screen — High Risk readiness</w:t>
      </w:r>
    </w:p>
    <w:p>
      <w:pPr>
        <w:pStyle w:val="ListBullet2"/>
      </w:pPr>
      <w:r>
        <w:t>Delivery &amp; Traceability Governance  (/platform-governance-architecture/governance)</w:t>
      </w:r>
    </w:p>
    <w:p>
      <w:pPr>
        <w:pStyle w:val="Heading2"/>
      </w:pPr>
      <w:r>
        <w:t>4.3 Data Models</w:t>
      </w:r>
    </w:p>
    <w:p>
      <w:pPr>
        <w:pStyle w:val="Heading3"/>
      </w:pPr>
      <w:r>
        <w:t>Customer / Contact</w:t>
      </w:r>
    </w:p>
    <w:p>
      <w:r>
        <w:t>The person transacting (consumer or B2B2C sponsored employee). Corpus has two closely related legacy variants (ENT-023 Customer, ENT-037 Customer/Contact), merged here for clarity.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qid / idNumber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QID / Passport / GCC / Diplomatic ID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name, dob, nationality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string/date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MOI-validated fields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moiValidationStatus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blacklisted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Owns one or more Accounts; linked to Employer for B2B2C; owned by a User as Lead Owner before conversion.</w:t>
      </w:r>
    </w:p>
    <w:p>
      <w:pPr>
        <w:pStyle w:val="Heading3"/>
      </w:pPr>
      <w:r>
        <w:t>Account</w:t>
      </w:r>
    </w:p>
    <w:p>
      <w:r>
        <w:t>Service/legal-entity container (ENT-024 Service Account).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accountType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Consumer / Enterprise parent / Enterprise sub-account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Belongs to Customer; has one or more Billing Profiles; places Orders; may have a parent Account (enterprise hierarchy).</w:t>
      </w:r>
    </w:p>
    <w:p>
      <w:pPr>
        <w:pStyle w:val="Heading3"/>
      </w:pPr>
      <w:r>
        <w:t>Billing Profile</w:t>
      </w:r>
    </w:p>
    <w:p>
      <w:r>
        <w:t>ENT-001 — drives billing, barring, and payment posting.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billingCycle, billingType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string/enum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PIA / Arrears / Hybrid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creditLimit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QAR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collectionStatus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Good standing → Overdue → In collection → Blacklisted</w:t>
            </w:r>
          </w:p>
        </w:tc>
      </w:tr>
    </w:tbl>
    <w:p/>
    <w:p>
      <w:r>
        <w:rPr>
          <w:i/>
          <w:sz w:val="19"/>
        </w:rPr>
        <w:t>Relationships: Belongs to Account; referenced by Orders and Line Items.</w:t>
      </w:r>
    </w:p>
    <w:p>
      <w:pPr>
        <w:pStyle w:val="Heading3"/>
      </w:pPr>
      <w:r>
        <w:t>Order</w:t>
      </w:r>
    </w:p>
    <w:p>
      <w:r>
        <w:t>ENT-006 — the central transactional entity.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orderType, orderSubType, 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approvalStatus, holdFlag/Reason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  <w:t>enum/string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EEF3F8"/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totalQAR, mrcTotalQAR, nrcTotalQAR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Belongs to Account; billed to a Billing Profile; contains Line Items; produces a CAF; may incur a Commitment/Penalty.</w:t>
      </w:r>
    </w:p>
    <w:p>
      <w:pPr>
        <w:pStyle w:val="Heading3"/>
      </w:pPr>
      <w:r>
        <w:t>Line Item</w:t>
      </w:r>
    </w:p>
    <w:p>
      <w:r>
        <w:t>ENT-039 — hierarchical parent/child structure under an Order.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lineItemType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Child of Order; references a Product; may provision a SIM, MSISDN, or CPE.</w:t>
      </w:r>
    </w:p>
    <w:p>
      <w:pPr>
        <w:pStyle w:val="Heading3"/>
      </w:pPr>
      <w:r>
        <w:t>Product / Plan / Promotion</w:t>
      </w:r>
    </w:p>
    <w:p>
      <w:r>
        <w:t>ENT-028 — bundled plan/discount/add-on, deliberately bundled into named promotions to prevent agent-side discount misuse.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mrcQAR, lockInMonths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Referenced by Line Items; determines Addon &amp; Discount eligibility.</w:t>
      </w:r>
    </w:p>
    <w:p>
      <w:pPr>
        <w:pStyle w:val="Heading3"/>
      </w:pPr>
      <w:r>
        <w:t>SIM</w:t>
      </w:r>
    </w:p>
    <w:p>
      <w:r>
        <w:t>ENT-026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iccid, type, stockStatus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string/enum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Physical / Printed eSIM / Virtual eSIM</w:t>
            </w:r>
          </w:p>
        </w:tc>
      </w:tr>
    </w:tbl>
    <w:p/>
    <w:p>
      <w:r>
        <w:rPr>
          <w:i/>
          <w:sz w:val="19"/>
        </w:rPr>
        <w:t>Relationships: Linked to CPE and Order; paired with an MSISDN; becomes part of an Installed Asset.</w:t>
      </w:r>
    </w:p>
    <w:p>
      <w:pPr>
        <w:pStyle w:val="Heading3"/>
      </w:pPr>
      <w:r>
        <w:t>MSISDN / Number</w:t>
      </w:r>
    </w:p>
    <w:p>
      <w:r>
        <w:t>ENT-015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msisdn, category, status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string/enum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Free / Star / Reserved; AVAILABLE / BLOCKED</w:t>
            </w:r>
          </w:p>
        </w:tc>
      </w:tr>
    </w:tbl>
    <w:p/>
    <w:p>
      <w:r>
        <w:rPr>
          <w:i/>
          <w:sz w:val="19"/>
        </w:rPr>
        <w:t>Relationships: Reserved to a Contact/Order; tied to Account/Service; subject to porting window after MNP port-in.</w:t>
      </w:r>
    </w:p>
    <w:p>
      <w:pPr>
        <w:pStyle w:val="Heading3"/>
      </w:pPr>
      <w:r>
        <w:t>CPE / ONT / Combo Box</w:t>
      </w:r>
    </w:p>
    <w:p>
      <w:r>
        <w:t>ENT-035 — Customer Premises Equipment for fixed/FWA.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serial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Linked to SIM, Order, and a KID/Service Point.</w:t>
      </w:r>
    </w:p>
    <w:p>
      <w:pPr>
        <w:pStyle w:val="Heading3"/>
      </w:pPr>
      <w:r>
        <w:t>KID / Service Point</w:t>
      </w:r>
    </w:p>
    <w:p>
      <w:r>
        <w:t>ENT-032 — Kahramaa ID / Karama ID address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kid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One government KID may map to multiple Vodafone service points/VFIDs</w:t>
            </w:r>
          </w:p>
        </w:tc>
      </w:tr>
    </w:tbl>
    <w:p/>
    <w:p>
      <w:r>
        <w:rPr>
          <w:i/>
          <w:sz w:val="19"/>
        </w:rPr>
        <w:t>Relationships: Linked to Address, Contact, and installed CPE.</w:t>
      </w:r>
    </w:p>
    <w:p>
      <w:pPr>
        <w:pStyle w:val="Heading3"/>
      </w:pPr>
      <w:r>
        <w:t>CAF (Customer Application Form)</w:t>
      </w:r>
    </w:p>
    <w:p>
      <w:r>
        <w:t>ENT-025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formId, signatureMethod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string/enum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Digital / Manual / Touch Screen</w:t>
            </w:r>
          </w:p>
        </w:tc>
      </w:tr>
    </w:tbl>
    <w:p/>
    <w:p>
      <w:r>
        <w:rPr>
          <w:i/>
          <w:sz w:val="19"/>
        </w:rPr>
        <w:t>Relationships: Produced per Order; distinct Consumer vs. Enterprise/SME-SOHO sub-types.</w:t>
      </w:r>
    </w:p>
    <w:p>
      <w:pPr>
        <w:pStyle w:val="Heading3"/>
      </w:pPr>
      <w:r>
        <w:t>Trouble Ticket</w:t>
      </w:r>
    </w:p>
    <w:p>
      <w:r>
        <w:t>ENT-020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status, category, hashtags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enum/string[]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VFQA_TT_HASHTAGS / VFQA_TT_ACTUAL_ISSUE taxonomies</w:t>
            </w:r>
          </w:p>
        </w:tc>
      </w:tr>
    </w:tbl>
    <w:p/>
    <w:p>
      <w:r>
        <w:rPr>
          <w:i/>
          <w:sz w:val="19"/>
        </w:rPr>
        <w:t>Relationships: Linked to Account, Customer, MSISDN, Order; closure by Retention Team can auto-create a Disconnection Order.</w:t>
      </w:r>
    </w:p>
    <w:p>
      <w:pPr>
        <w:pStyle w:val="Heading3"/>
      </w:pPr>
      <w:r>
        <w:t>Employer / Company (B2B2C)</w:t>
      </w:r>
    </w:p>
    <w:p>
      <w:r>
        <w:t>ENT-047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companyName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Sponsors a Contact/Account under B2B2C.</w:t>
      </w:r>
    </w:p>
    <w:p>
      <w:pPr>
        <w:pStyle w:val="Heading3"/>
      </w:pPr>
      <w:r>
        <w:t>Commitment / Penalty</w:t>
      </w:r>
    </w:p>
    <w:p>
      <w:r>
        <w:t>ENT-005 — calculated on-demand from guided journeys (e.g. Fibre lock-in disconnection fee).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59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93"/>
            <w:shd w:val="clear" w:color="auto" w:fill="1F4E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amountQAR</w:t>
            </w:r>
          </w:p>
        </w:tc>
        <w:tc>
          <w:tcPr>
            <w:tcW w:type="dxa" w:w="20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type="dxa" w:w="449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i/>
          <w:sz w:val="19"/>
        </w:rPr>
        <w:t>Relationships: Calculated against an Order/Billing Profile at disconnection or plan-change time.</w:t>
      </w:r>
    </w:p>
    <w:p>
      <w:pPr>
        <w:pStyle w:val="Heading1"/>
      </w:pPr>
      <w:r>
        <w:t>5. Supplementary Diagrams</w:t>
      </w:r>
    </w:p>
    <w:p>
      <w:pPr>
        <w:pStyle w:val="Heading2"/>
      </w:pPr>
      <w:r>
        <w:t>Entity Relationship Diagram (core domain entities)</w:t>
      </w:r>
    </w:p>
    <w:p>
      <w:r>
        <w:t>The full domain model has 83 entities (`blueprint/domain-model.md`); this diagram shows the 14 most-referenced entities (by module-hierarchy feature co-occurrence) with their evidenced relationships, kept to a legible node count per diagramming best practice. See `domain-model.md` for the remaining 69 entities (e.g. Commitment/Penalty sub-types, IMS Site/ZSB, Functional Cluster, Authorised Person/Chooser) and their full evidenced attributes.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64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-relationship-diagram-core-domain-ent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Figure: Entity Relationship Diagram (core domain entities)</w:t>
      </w:r>
    </w:p>
    <w:p>
      <w:pPr>
        <w:pStyle w:val="Heading1"/>
      </w:pPr>
      <w:r>
        <w:t>6. Assumptions &amp; Confidence</w:t>
      </w:r>
    </w:p>
    <w:p>
      <w:r>
        <w:t>The following assumptions were made during analysis. Confirm or correct them before treating this document as authoritative.</w:t>
      </w:r>
    </w:p>
    <w:p>
      <w:pPr>
        <w:pStyle w:val="ListBullet"/>
      </w:pPr>
      <w:r>
        <w:t>No live codebase exists yet — both diagrams are synthesized from the Stage A-D evidence-backed reconstruction blueprint (`blueprint/`), not from static analysis of a repository. Treat this document as a design specification, not an as-built record.</w:t>
      </w:r>
    </w:p>
    <w:p>
      <w:pPr>
        <w:pStyle w:val="ListBullet"/>
      </w:pPr>
      <w:r>
        <w:t>The entire technology_inventory (React, TypeScript, Vite, Zustand, React Hook Form, Tailwind CSS) is a recommended default from `blueprint/reconstruction-package/docs/frontend-architecture.md` §1 — no source document specifies a target tech stack.</w:t>
      </w:r>
    </w:p>
    <w:p>
      <w:pPr>
        <w:pStyle w:val="ListBullet"/>
      </w:pPr>
      <w:r>
        <w:t>Screen-to-module assignment in the Information Architecture navigation tree is a deterministic keyword match (`config/routes.json`), not a confirmed final IA — expect some screens to need manual re-bucketing.</w:t>
      </w:r>
    </w:p>
    <w:p>
      <w:pPr>
        <w:pStyle w:val="ListBullet"/>
      </w:pPr>
      <w:r>
        <w:t>The Entity Relationship Diagram shows 14 of 83 evidenced entities, curated for diagram legibility (8-20 node guidance) by module-hierarchy reference frequency — not the full domain model.</w:t>
      </w:r>
    </w:p>
    <w:p>
      <w:pPr>
        <w:pStyle w:val="ListBullet"/>
      </w:pPr>
      <w:r>
        <w:t>The 'Customer' node in the ERD merges two closely related legacy entity variants (ENT-023 Customer, ENT-037 Customer/Contact) found in the source corpus — see `domain-model.md` for the distinction.</w:t>
      </w:r>
    </w:p>
    <w:p>
      <w:pPr>
        <w:pStyle w:val="ListBullet"/>
      </w:pPr>
      <w:r>
        <w:t>Deployment description (static SPA, no server) is an architectural consequence of the explicit front-end-only project constraint, not evidenced by the source corpus, which only describes the legacy system being replaced.</w:t>
      </w:r>
    </w:p>
    <w:p>
      <w:pPr>
        <w:pStyle w:val="Heading2"/>
      </w:pPr>
      <w:r>
        <w:t>Confidence Notes</w:t>
      </w:r>
    </w:p>
    <w:p>
      <w:r>
        <w:t>High confidence on the module/screen/entity counts and relationships (all evidence-cited in blueprint/*.md, traceable to specific source documents). Low-to-no confidence on the specific technology choices and deployment target (Assumed defaults, explicitly flagged, since the source corpus contains no target-state technical specification — only legacy-system screenshots and business/functional requirements).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