
<file path=[Content_Types].xml><?xml version="1.0" encoding="utf-8"?>
<Types xmlns="http://schemas.openxmlformats.org/package/2006/content-types">
  <Default Extension="xml" ContentType="application/xml"/>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color w:val="4472C4" w:themeColor="accent1"/>
          <w14:textFill>
            <w14:solidFill>
              <w14:schemeClr w14:val="accent1"/>
            </w14:solidFill>
          </w14:textFill>
        </w:rPr>
        <w:id w:val="-1873453449"/>
        <w:docPartObj>
          <w:docPartGallery w:val="AutoText"/>
        </w:docPartObj>
      </w:sdtPr>
      <w:sdtEndPr>
        <w:rPr>
          <w:rFonts w:eastAsiaTheme="minorHAnsi"/>
          <w:color w:val="000000" w:themeColor="text1"/>
          <w:sz w:val="24"/>
          <w:szCs w:val="24"/>
          <w14:textFill>
            <w14:solidFill>
              <w14:schemeClr w14:val="tx1"/>
            </w14:solidFill>
          </w14:textFill>
        </w:rPr>
      </w:sdtEndPr>
      <w:sdtContent>
        <w:p>
          <w:pPr>
            <w:pStyle w:val="10"/>
            <w:spacing w:before="1540" w:after="240"/>
            <w:jc w:val="center"/>
            <w:rPr>
              <w:color w:val="4472C4" w:themeColor="accent1"/>
              <w14:textFill>
                <w14:solidFill>
                  <w14:schemeClr w14:val="accent1"/>
                </w14:solidFill>
              </w14:textFill>
            </w:rPr>
          </w:pPr>
          <w:r>
            <w:rPr>
              <w:color w:val="4472C4" w:themeColor="accent1"/>
              <w14:textFill>
                <w14:solidFill>
                  <w14:schemeClr w14:val="accent1"/>
                </w14:solidFill>
              </w14:textFill>
            </w:rPr>
            <w:drawing>
              <wp:inline distT="0" distB="0" distL="0" distR="0">
                <wp:extent cx="1417320" cy="7505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hAnsiTheme="majorHAnsi" w:eastAsiaTheme="majorEastAsia" w:cstheme="majorBidi"/>
              <w:caps/>
              <w:color w:val="4472C4" w:themeColor="accent1"/>
              <w:sz w:val="72"/>
              <w:szCs w:val="72"/>
              <w14:textFill>
                <w14:solidFill>
                  <w14:schemeClr w14:val="accent1"/>
                </w14:solidFill>
              </w14:textFill>
            </w:rPr>
            <w:alias w:val="Title"/>
            <w:id w:val="1735040861"/>
            <w:placeholder>
              <w:docPart w:val="3F73366A966E4F9D9C9A1F012298CC48"/>
            </w:placeholder>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color w:val="4472C4" w:themeColor="accent1"/>
              <w:sz w:val="80"/>
              <w:szCs w:val="80"/>
              <w14:textFill>
                <w14:solidFill>
                  <w14:schemeClr w14:val="accent1"/>
                </w14:solidFill>
              </w14:textFill>
            </w:rPr>
          </w:sdtEndPr>
          <w:sdtContent>
            <w:p>
              <w:pPr>
                <w:pStyle w:val="10"/>
                <w:pBdr>
                  <w:top w:val="single" w:color="4472C4" w:themeColor="accent1" w:sz="6" w:space="6"/>
                  <w:bottom w:val="single" w:color="4472C4" w:themeColor="accent1" w:sz="6" w:space="6"/>
                </w:pBdr>
                <w:spacing w:after="240"/>
                <w:jc w:val="center"/>
                <w:rPr>
                  <w:rFonts w:asciiTheme="majorHAnsi" w:hAnsiTheme="majorHAnsi" w:eastAsiaTheme="majorEastAsia" w:cstheme="majorBidi"/>
                  <w:caps/>
                  <w:color w:val="4472C4" w:themeColor="accent1"/>
                  <w:sz w:val="80"/>
                  <w:szCs w:val="80"/>
                  <w14:textFill>
                    <w14:solidFill>
                      <w14:schemeClr w14:val="accent1"/>
                    </w14:solidFill>
                  </w14:textFill>
                </w:rPr>
              </w:pPr>
              <w:r>
                <w:rPr>
                  <w:rFonts w:asciiTheme="majorHAnsi" w:hAnsiTheme="majorHAnsi" w:eastAsiaTheme="majorEastAsia" w:cstheme="majorBidi"/>
                  <w:caps/>
                  <w:color w:val="4472C4" w:themeColor="accent1"/>
                  <w:sz w:val="72"/>
                  <w:szCs w:val="72"/>
                  <w14:textFill>
                    <w14:solidFill>
                      <w14:schemeClr w14:val="accent1"/>
                    </w14:solidFill>
                  </w14:textFill>
                </w:rPr>
                <w:t>Kaggle Project</w:t>
              </w:r>
            </w:p>
          </w:sdtContent>
        </w:sdt>
        <w:p>
          <w:pPr>
            <w:pStyle w:val="10"/>
            <w:spacing w:before="480"/>
            <w:jc w:val="center"/>
            <w:rPr>
              <w:color w:val="4472C4" w:themeColor="accent1"/>
              <w14:textFill>
                <w14:solidFill>
                  <w14:schemeClr w14:val="accent1"/>
                </w14:solidFill>
              </w14:textFill>
            </w:rPr>
          </w:pPr>
          <w:r>
            <w:rPr>
              <w:color w:val="4472C4"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14:textFill>
                                      <w14:solidFill>
                                        <w14:schemeClr w14:val="accent1"/>
                                      </w14:solidFill>
                                    </w14:textFill>
                                  </w:rPr>
                                  <w:alias w:val="Date"/>
                                  <w:id w:val="197127006"/>
                                  <w15:dataBinding w:prefixMappings="xmlns:ns0='http://schemas.microsoft.com/office/2006/coverPageProps' " w:xpath="/ns0:CoverPageProperties[1]/ns0:PublishDate[1]" w:storeItemID="{55AF091B-3C7A-41E3-B477-F2FDAA23CFDA}"/>
                                  <w:date w:fullDate="2019-12-04T00:00:00Z">
                                    <w:dateFormat w:val="MMMM d, yyyy"/>
                                    <w:lid w:val="en-US"/>
                                    <w:storeMappedDataAs w:val="datetime"/>
                                    <w:calendar w:val="gregorian"/>
                                  </w:date>
                                </w:sdtPr>
                                <w:sdtEndPr>
                                  <w:rPr>
                                    <w:caps/>
                                    <w:color w:val="4472C4" w:themeColor="accent1"/>
                                    <w:sz w:val="28"/>
                                    <w:szCs w:val="28"/>
                                    <w14:textFill>
                                      <w14:solidFill>
                                        <w14:schemeClr w14:val="accent1"/>
                                      </w14:solidFill>
                                    </w14:textFill>
                                  </w:rPr>
                                </w:sdtEndPr>
                                <w:sdtContent>
                                  <w:p>
                                    <w:pPr>
                                      <w:pStyle w:val="10"/>
                                      <w:spacing w:after="40"/>
                                      <w:jc w:val="center"/>
                                      <w:rPr>
                                        <w:caps/>
                                        <w:color w:val="4472C4" w:themeColor="accent1"/>
                                        <w:sz w:val="28"/>
                                        <w:szCs w:val="28"/>
                                        <w14:textFill>
                                          <w14:solidFill>
                                            <w14:schemeClr w14:val="accent1"/>
                                          </w14:solidFill>
                                        </w14:textFill>
                                      </w:rPr>
                                    </w:pPr>
                                    <w:r>
                                      <w:rPr>
                                        <w:caps/>
                                        <w:color w:val="4472C4" w:themeColor="accent1"/>
                                        <w:sz w:val="28"/>
                                        <w:szCs w:val="28"/>
                                        <w14:textFill>
                                          <w14:solidFill>
                                            <w14:schemeClr w14:val="accent1"/>
                                          </w14:solidFill>
                                        </w14:textFill>
                                      </w:rPr>
                                      <w:t>December 4, 2019</w:t>
                                    </w:r>
                                  </w:p>
                                </w:sdtContent>
                              </w:sdt>
                              <w:p>
                                <w:pPr>
                                  <w:pStyle w:val="10"/>
                                  <w:jc w:val="center"/>
                                  <w:rPr>
                                    <w:color w:val="4472C4" w:themeColor="accent1"/>
                                    <w14:textFill>
                                      <w14:solidFill>
                                        <w14:schemeClr w14:val="accent1"/>
                                      </w14:solidFill>
                                    </w14:textFill>
                                  </w:rPr>
                                </w:pPr>
                                <w:sdt>
                                  <w:sdtPr>
                                    <w:rPr>
                                      <w:rFonts w:ascii="DengXian" w:hAnsi="DengXian"/>
                                      <w:color w:val="4472C4" w:themeColor="accent1"/>
                                      <w:sz w:val="28"/>
                                      <w:szCs w:val="28"/>
                                      <w14:textFill>
                                        <w14:solidFill>
                                          <w14:schemeClr w14:val="accent1"/>
                                        </w14:solidFill>
                                      </w14:textFill>
                                    </w:rPr>
                                    <w:alias w:val="Company"/>
                                    <w:id w:val="1390145197"/>
                                    <w15:dataBinding w:prefixMappings="xmlns:ns0='http://schemas.openxmlformats.org/officeDocument/2006/extended-properties' " w:xpath="/ns0:Properties[1]/ns0:Company[1]" w:storeItemID="{6668398D-A668-4E3E-A5EB-62B293D839F1}"/>
                                    <w:text/>
                                  </w:sdtPr>
                                  <w:sdtEndPr>
                                    <w:rPr>
                                      <w:rFonts w:ascii="DengXian" w:hAnsi="DengXian"/>
                                      <w:color w:val="4472C4" w:themeColor="accent1"/>
                                      <w:sz w:val="28"/>
                                      <w:szCs w:val="28"/>
                                      <w14:textFill>
                                        <w14:solidFill>
                                          <w14:schemeClr w14:val="accent1"/>
                                        </w14:solidFill>
                                      </w14:textFill>
                                    </w:rPr>
                                  </w:sdtEndPr>
                                  <w:sdtContent>
                                    <w:r>
                                      <w:rPr>
                                        <w:rFonts w:ascii="DengXian" w:hAnsi="DengXian"/>
                                        <w:color w:val="4472C4" w:themeColor="accent1"/>
                                        <w:sz w:val="28"/>
                                        <w:szCs w:val="28"/>
                                        <w14:textFill>
                                          <w14:solidFill>
                                            <w14:schemeClr w14:val="accent1"/>
                                          </w14:solidFill>
                                        </w14:textFill>
                                      </w:rPr>
                                      <w:t>From: Billy Nayden, Muchigi Kimari, Vijayasrikanth Kanit &amp; Paritosh Rai</w:t>
                                    </w:r>
                                  </w:sdtContent>
                                </w:sdt>
                              </w:p>
                              <w:p>
                                <w:pPr>
                                  <w:pStyle w:val="10"/>
                                  <w:rPr>
                                    <w:color w:val="4472C4" w:themeColor="accent1"/>
                                    <w14:textFill>
                                      <w14:solidFill>
                                        <w14:schemeClr w14:val="accent1"/>
                                      </w14:solidFill>
                                    </w14:textFill>
                                  </w:rPr>
                                </w:pPr>
                                <w:sdt>
                                  <w:sdtPr>
                                    <w:rPr>
                                      <w:color w:val="4472C4" w:themeColor="accent1"/>
                                      <w14:textFill>
                                        <w14:solidFill>
                                          <w14:schemeClr w14:val="accent1"/>
                                        </w14:solidFill>
                                      </w14:textFill>
                                    </w:rPr>
                                    <w:alias w:val="Address"/>
                                    <w:id w:val="-726379553"/>
                                    <w:showingPlcHdr/>
                                    <w15:dataBinding w:prefixMappings="xmlns:ns0='http://schemas.microsoft.com/office/2006/coverPageProps' " w:xpath="/ns0:CoverPageProperties[1]/ns0:CompanyAddress[1]" w:storeItemID="{55AF091B-3C7A-41E3-B477-F2FDAA23CFDA}"/>
                                    <w:text/>
                                  </w:sdtPr>
                                  <w:sdtEndPr>
                                    <w:rPr>
                                      <w:color w:val="4472C4" w:themeColor="accent1"/>
                                      <w14:textFill>
                                        <w14:solidFill>
                                          <w14:schemeClr w14:val="accent1"/>
                                        </w14:solidFill>
                                      </w14:textFill>
                                    </w:rPr>
                                  </w:sdtEndPr>
                                  <w:sdtContent>
                                    <w:r>
                                      <w:rPr>
                                        <w:color w:val="4472C4" w:themeColor="accent1"/>
                                        <w14:textFill>
                                          <w14:solidFill>
                                            <w14:schemeClr w14:val="accent1"/>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72pt;margin-top:673.2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dYODr1gAAAAUBAAAPAAAAAAAAAAEAIAAA&#10;ACIAAABkcnMvZG93bnJldi54bWxQSwECFAAUAAAACACHTuJA1zRphw4CAAAZBAAADgAAAAAAAAAB&#10;ACAAAAAlAQAAZHJzL2Uyb0RvYy54bWxQSwUGAAAAAAYABgBZAQAApQUAAAAA&#10;">
                    <v:fill on="f" focussize="0,0"/>
                    <v:stroke on="f" weight="0.5pt"/>
                    <v:imagedata o:title=""/>
                    <o:lock v:ext="edit" aspectratio="f"/>
                    <v:textbox inset="0mm,0mm,0mm,0mm" style="mso-fit-shape-to-text:t;">
                      <w:txbxContent>
                        <w:sdt>
                          <w:sdtPr>
                            <w:rPr>
                              <w:caps/>
                              <w:color w:val="4472C4" w:themeColor="accent1"/>
                              <w:sz w:val="28"/>
                              <w:szCs w:val="28"/>
                              <w14:textFill>
                                <w14:solidFill>
                                  <w14:schemeClr w14:val="accent1"/>
                                </w14:solidFill>
                              </w14:textFill>
                            </w:rPr>
                            <w:alias w:val="Date"/>
                            <w:id w:val="197127006"/>
                            <w15:dataBinding w:prefixMappings="xmlns:ns0='http://schemas.microsoft.com/office/2006/coverPageProps' " w:xpath="/ns0:CoverPageProperties[1]/ns0:PublishDate[1]" w:storeItemID="{55AF091B-3C7A-41E3-B477-F2FDAA23CFDA}"/>
                            <w:date w:fullDate="2019-12-04T00:00:00Z">
                              <w:dateFormat w:val="MMMM d, yyyy"/>
                              <w:lid w:val="en-US"/>
                              <w:storeMappedDataAs w:val="datetime"/>
                              <w:calendar w:val="gregorian"/>
                            </w:date>
                          </w:sdtPr>
                          <w:sdtEndPr>
                            <w:rPr>
                              <w:caps/>
                              <w:color w:val="4472C4" w:themeColor="accent1"/>
                              <w:sz w:val="28"/>
                              <w:szCs w:val="28"/>
                              <w14:textFill>
                                <w14:solidFill>
                                  <w14:schemeClr w14:val="accent1"/>
                                </w14:solidFill>
                              </w14:textFill>
                            </w:rPr>
                          </w:sdtEndPr>
                          <w:sdtContent>
                            <w:p>
                              <w:pPr>
                                <w:pStyle w:val="10"/>
                                <w:spacing w:after="40"/>
                                <w:jc w:val="center"/>
                                <w:rPr>
                                  <w:caps/>
                                  <w:color w:val="4472C4" w:themeColor="accent1"/>
                                  <w:sz w:val="28"/>
                                  <w:szCs w:val="28"/>
                                  <w14:textFill>
                                    <w14:solidFill>
                                      <w14:schemeClr w14:val="accent1"/>
                                    </w14:solidFill>
                                  </w14:textFill>
                                </w:rPr>
                              </w:pPr>
                              <w:r>
                                <w:rPr>
                                  <w:caps/>
                                  <w:color w:val="4472C4" w:themeColor="accent1"/>
                                  <w:sz w:val="28"/>
                                  <w:szCs w:val="28"/>
                                  <w14:textFill>
                                    <w14:solidFill>
                                      <w14:schemeClr w14:val="accent1"/>
                                    </w14:solidFill>
                                  </w14:textFill>
                                </w:rPr>
                                <w:t>December 4, 2019</w:t>
                              </w:r>
                            </w:p>
                          </w:sdtContent>
                        </w:sdt>
                        <w:p>
                          <w:pPr>
                            <w:pStyle w:val="10"/>
                            <w:jc w:val="center"/>
                            <w:rPr>
                              <w:color w:val="4472C4" w:themeColor="accent1"/>
                              <w14:textFill>
                                <w14:solidFill>
                                  <w14:schemeClr w14:val="accent1"/>
                                </w14:solidFill>
                              </w14:textFill>
                            </w:rPr>
                          </w:pPr>
                          <w:sdt>
                            <w:sdtPr>
                              <w:rPr>
                                <w:rFonts w:ascii="DengXian" w:hAnsi="DengXian"/>
                                <w:color w:val="4472C4" w:themeColor="accent1"/>
                                <w:sz w:val="28"/>
                                <w:szCs w:val="28"/>
                                <w14:textFill>
                                  <w14:solidFill>
                                    <w14:schemeClr w14:val="accent1"/>
                                  </w14:solidFill>
                                </w14:textFill>
                              </w:rPr>
                              <w:alias w:val="Company"/>
                              <w:id w:val="1390145197"/>
                              <w15:dataBinding w:prefixMappings="xmlns:ns0='http://schemas.openxmlformats.org/officeDocument/2006/extended-properties' " w:xpath="/ns0:Properties[1]/ns0:Company[1]" w:storeItemID="{6668398D-A668-4E3E-A5EB-62B293D839F1}"/>
                              <w:text/>
                            </w:sdtPr>
                            <w:sdtEndPr>
                              <w:rPr>
                                <w:rFonts w:ascii="DengXian" w:hAnsi="DengXian"/>
                                <w:color w:val="4472C4" w:themeColor="accent1"/>
                                <w:sz w:val="28"/>
                                <w:szCs w:val="28"/>
                                <w14:textFill>
                                  <w14:solidFill>
                                    <w14:schemeClr w14:val="accent1"/>
                                  </w14:solidFill>
                                </w14:textFill>
                              </w:rPr>
                            </w:sdtEndPr>
                            <w:sdtContent>
                              <w:r>
                                <w:rPr>
                                  <w:rFonts w:ascii="DengXian" w:hAnsi="DengXian"/>
                                  <w:color w:val="4472C4" w:themeColor="accent1"/>
                                  <w:sz w:val="28"/>
                                  <w:szCs w:val="28"/>
                                  <w14:textFill>
                                    <w14:solidFill>
                                      <w14:schemeClr w14:val="accent1"/>
                                    </w14:solidFill>
                                  </w14:textFill>
                                </w:rPr>
                                <w:t>From: Billy Nayden, Muchigi Kimari, Vijayasrikanth Kanit &amp; Paritosh Rai</w:t>
                              </w:r>
                            </w:sdtContent>
                          </w:sdt>
                        </w:p>
                        <w:p>
                          <w:pPr>
                            <w:pStyle w:val="10"/>
                            <w:rPr>
                              <w:color w:val="4472C4" w:themeColor="accent1"/>
                              <w14:textFill>
                                <w14:solidFill>
                                  <w14:schemeClr w14:val="accent1"/>
                                </w14:solidFill>
                              </w14:textFill>
                            </w:rPr>
                          </w:pPr>
                          <w:sdt>
                            <w:sdtPr>
                              <w:rPr>
                                <w:color w:val="4472C4" w:themeColor="accent1"/>
                                <w14:textFill>
                                  <w14:solidFill>
                                    <w14:schemeClr w14:val="accent1"/>
                                  </w14:solidFill>
                                </w14:textFill>
                              </w:rPr>
                              <w:alias w:val="Address"/>
                              <w:id w:val="-726379553"/>
                              <w:showingPlcHdr/>
                              <w15:dataBinding w:prefixMappings="xmlns:ns0='http://schemas.microsoft.com/office/2006/coverPageProps' " w:xpath="/ns0:CoverPageProperties[1]/ns0:CompanyAddress[1]" w:storeItemID="{55AF091B-3C7A-41E3-B477-F2FDAA23CFDA}"/>
                              <w:text/>
                            </w:sdtPr>
                            <w:sdtEndPr>
                              <w:rPr>
                                <w:color w:val="4472C4" w:themeColor="accent1"/>
                                <w14:textFill>
                                  <w14:solidFill>
                                    <w14:schemeClr w14:val="accent1"/>
                                  </w14:solidFill>
                                </w14:textFill>
                              </w:rPr>
                            </w:sdtEndPr>
                            <w:sdtContent>
                              <w:r>
                                <w:rPr>
                                  <w:color w:val="4472C4" w:themeColor="accent1"/>
                                  <w14:textFill>
                                    <w14:solidFill>
                                      <w14:schemeClr w14:val="accent1"/>
                                    </w14:solidFill>
                                  </w14:textFill>
                                </w:rPr>
                                <w:t xml:space="preserve">     </w:t>
                              </w:r>
                            </w:sdtContent>
                          </w:sdt>
                        </w:p>
                      </w:txbxContent>
                    </v:textbox>
                  </v:shape>
                </w:pict>
              </mc:Fallback>
            </mc:AlternateContent>
          </w:r>
          <w:r>
            <w:rPr>
              <w:color w:val="4472C4" w:themeColor="accent1"/>
              <w14:textFill>
                <w14:solidFill>
                  <w14:schemeClr w14:val="accent1"/>
                </w14:solidFill>
              </w14:textFill>
            </w:rPr>
            <w:drawing>
              <wp:inline distT="0" distB="0" distL="0" distR="0">
                <wp:extent cx="758825" cy="47879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pPr>
            <w:spacing w:after="160" w:line="259" w:lineRule="auto"/>
            <w:rPr>
              <w:color w:val="000000" w:themeColor="text1"/>
              <w14:textFill>
                <w14:solidFill>
                  <w14:schemeClr w14:val="tx1"/>
                </w14:solidFill>
              </w14:textFill>
            </w:rPr>
          </w:pPr>
          <w:r>
            <w:rPr>
              <w:color w:val="000000" w:themeColor="text1"/>
              <w14:textFill>
                <w14:solidFill>
                  <w14:schemeClr w14:val="tx1"/>
                </w14:solidFill>
              </w14:textFill>
            </w:rPr>
            <w:br w:type="page"/>
          </w:r>
        </w:p>
      </w:sdtContent>
    </w:sdt>
    <w:p>
      <w:pPr>
        <w:rPr>
          <w:color w:val="000000" w:themeColor="text1"/>
          <w14:textFill>
            <w14:solidFill>
              <w14:schemeClr w14:val="tx1"/>
            </w14:solidFill>
          </w14:textFill>
        </w:rPr>
      </w:pPr>
      <w:r>
        <w:rPr>
          <w:b/>
          <w:bCs/>
          <w:color w:val="000000" w:themeColor="text1"/>
          <w14:textFill>
            <w14:solidFill>
              <w14:schemeClr w14:val="tx1"/>
            </w14:solidFill>
          </w14:textFill>
        </w:rPr>
        <w:t xml:space="preserve">Introduction: </w:t>
      </w:r>
      <w:r>
        <w:rPr>
          <w:color w:val="000000" w:themeColor="text1"/>
          <w14:textFill>
            <w14:solidFill>
              <w14:schemeClr w14:val="tx1"/>
            </w14:solidFill>
          </w14:textFill>
        </w:rPr>
        <w:t>We are a team of data scientists from Southern Methodist University seeking to create models of housing data to answer potential questions from home buyers.</w:t>
      </w:r>
    </w:p>
    <w:p>
      <w:pPr>
        <w:rPr>
          <w:color w:val="FF0000"/>
        </w:rPr>
      </w:pPr>
    </w:p>
    <w:p>
      <w:pPr>
        <w:rPr>
          <w:b/>
          <w:bCs/>
        </w:rPr>
      </w:pPr>
      <w:r>
        <w:rPr>
          <w:b/>
          <w:bCs/>
          <w:color w:val="000000" w:themeColor="text1"/>
          <w14:textFill>
            <w14:solidFill>
              <w14:schemeClr w14:val="tx1"/>
            </w14:solidFill>
          </w14:textFill>
        </w:rPr>
        <w:t xml:space="preserve">Data Description: </w:t>
      </w:r>
      <w:r>
        <w:rPr>
          <w:color w:val="000000" w:themeColor="text1"/>
          <w14:textFill>
            <w14:solidFill>
              <w14:schemeClr w14:val="tx1"/>
            </w14:solidFill>
          </w14:textFill>
        </w:rPr>
        <w:t>This is a set of 1459 observations from 79 different data points regarding Ames housing, compiled by Dean De Cock for data science education.</w:t>
      </w:r>
    </w:p>
    <w:p>
      <w:pPr>
        <w:rPr>
          <w:b/>
          <w:bCs/>
        </w:rPr>
      </w:pPr>
    </w:p>
    <w:p>
      <w:pPr>
        <w:rPr>
          <w:b/>
          <w:bCs/>
        </w:rPr>
      </w:pPr>
      <w:r>
        <w:rPr>
          <w:b/>
          <w:bCs/>
        </w:rPr>
        <w:t>Analysis Question 1:</w:t>
      </w:r>
    </w:p>
    <w:p>
      <w:pPr>
        <w:rPr>
          <w:b/>
          <w:bCs/>
        </w:rPr>
      </w:pPr>
    </w:p>
    <w:p>
      <w:r>
        <w:rPr>
          <w:b/>
          <w:bCs/>
        </w:rPr>
        <w:t>Restatement of Problem:</w:t>
      </w:r>
      <w:r>
        <w:t xml:space="preserve"> </w:t>
      </w:r>
      <w:r>
        <w:rPr>
          <w:rFonts w:hAnsi="Helvetica Neue"/>
          <w:color w:val="555555"/>
        </w:rPr>
        <w:t xml:space="preserve">Century 21 Ames (a real estate company) in Ames Iowa only sells houses in the NAmes, Edwards and BrkSide neighborhoods. This analysis is to estimate the Sale Price of the house in relation to square footage of living area our client Century 21 Ames. </w:t>
      </w:r>
    </w:p>
    <w:p/>
    <w:p>
      <w:r>
        <w:t>We identified four data points as outliers (</w:t>
      </w:r>
      <w:r>
        <w:rPr>
          <w:b/>
          <w:bCs/>
        </w:rPr>
        <w:t>Table 1.3</w:t>
      </w:r>
      <w:r>
        <w:t>) and removed from original data. The following is fit model based on the regression line with slope and intercept table (</w:t>
      </w:r>
      <w:r>
        <w:rPr>
          <w:b/>
          <w:bCs/>
        </w:rPr>
        <w:t>Table 1.2</w:t>
      </w:r>
      <w:r>
        <w:t>).</w:t>
      </w:r>
    </w:p>
    <w:p/>
    <w:p>
      <w:pPr>
        <w:rPr>
          <w:rFonts w:hAnsi="Helvetica Neue"/>
        </w:rPr>
      </w:pPr>
      <w:r>
        <w:rPr>
          <w:rFonts w:hAnsi="Helvetica Neue"/>
          <w:b/>
          <w:bCs/>
        </w:rPr>
        <w:t>Build and fit the model:</w:t>
      </w:r>
      <w:r>
        <w:rPr>
          <w:rFonts w:hAnsi="Helvetica Neue"/>
        </w:rPr>
        <w:t xml:space="preserve"> Predicted Sales Price = β0 + β1GeLivArea + β2 Neighborhood Edwards + β3 Neighborhood NAmes+ β4 GrLivArea*Neighborhood Edwards+ β5 GrLivArea*Neighborhood NAmes</w:t>
      </w:r>
    </w:p>
    <w:p>
      <w:pPr>
        <w:rPr>
          <w:rFonts w:hAnsi="Helvetica Neue"/>
        </w:rPr>
      </w:pPr>
    </w:p>
    <w:p>
      <w:pPr>
        <w:rPr>
          <w:rFonts w:hAnsi="Helvetica Neue"/>
        </w:rPr>
      </w:pPr>
      <w:r>
        <w:rPr>
          <w:rFonts w:hAnsi="Helvetica Neue"/>
          <w:b/>
          <w:bCs/>
        </w:rPr>
        <w:t xml:space="preserve">Fit model after removing outliers </w:t>
      </w:r>
      <w:r>
        <w:rPr>
          <w:rFonts w:hAnsi="Helvetica Neue"/>
        </w:rPr>
        <w:t>(</w:t>
      </w:r>
      <w:r>
        <w:rPr>
          <w:rFonts w:hAnsi="Helvetica Neue"/>
          <w:b/>
          <w:bCs/>
        </w:rPr>
        <w:t>Table 1.2</w:t>
      </w:r>
      <w:r>
        <w:rPr>
          <w:rFonts w:hAnsi="Helvetica Neue"/>
        </w:rPr>
        <w:t>)</w:t>
      </w:r>
      <w:r>
        <w:rPr>
          <w:rFonts w:hAnsi="Helvetica Neue"/>
          <w:b/>
          <w:bCs/>
        </w:rPr>
        <w:t>:</w:t>
      </w:r>
      <w:r>
        <w:rPr>
          <w:rFonts w:hAnsi="Helvetica Neue"/>
        </w:rPr>
        <w:t xml:space="preserve">  Predicted Sales Price = 19971.51 + 87.16GrLivArea + 17128.91 *Neighborhood Edwards + 60354.2*Neighborhood NAmes – 17GrLivArea*Neighborhood Edwards – 37.6*GrLivArea*Neighborhood NAmes</w:t>
      </w:r>
    </w:p>
    <w:p>
      <w:pPr>
        <w:ind w:right="-630"/>
        <w:rPr>
          <w:b/>
        </w:rPr>
      </w:pPr>
    </w:p>
    <w:p>
      <w:pPr>
        <w:ind w:right="-630"/>
        <w:rPr>
          <w:b/>
          <w:bCs/>
        </w:rPr>
      </w:pPr>
      <w:r>
        <w:rPr>
          <w:b/>
          <w:bCs/>
        </w:rPr>
        <w:t>Checking Assumptions:</w:t>
      </w:r>
    </w:p>
    <w:p>
      <w:pPr>
        <w:ind w:right="-630"/>
      </w:pPr>
      <w:r>
        <w:rPr>
          <w:b/>
        </w:rPr>
        <w:tab/>
      </w:r>
      <w:r>
        <w:rPr>
          <w:b/>
        </w:rPr>
        <w:tab/>
      </w:r>
    </w:p>
    <w:p>
      <w:pPr>
        <w:rPr>
          <w:b/>
          <w:bCs/>
          <w:u w:val="single"/>
        </w:rPr>
      </w:pPr>
      <w:r>
        <w:rPr>
          <w:b/>
          <w:bCs/>
          <w:u w:val="single"/>
        </w:rPr>
        <w:t>Residual Spread (constant Variance):</w:t>
      </w:r>
      <w:r>
        <w:rPr>
          <w:b/>
          <w:bCs/>
        </w:rPr>
        <w:t xml:space="preserve"> </w:t>
      </w:r>
      <w:r>
        <w:t>(</w:t>
      </w:r>
      <w:r>
        <w:rPr>
          <w:b/>
          <w:bCs/>
        </w:rPr>
        <w:t>Figure 1.1</w:t>
      </w:r>
      <w:r>
        <w:t>)</w:t>
      </w:r>
    </w:p>
    <w:p>
      <w:pPr>
        <w:pStyle w:val="9"/>
        <w:numPr>
          <w:ilvl w:val="0"/>
          <w:numId w:val="1"/>
        </w:numPr>
        <w:spacing w:after="0"/>
        <w:rPr>
          <w:sz w:val="24"/>
          <w:szCs w:val="24"/>
        </w:rPr>
      </w:pPr>
      <w:r>
        <w:rPr>
          <w:sz w:val="24"/>
          <w:szCs w:val="24"/>
        </w:rPr>
        <w:t>Even scatter with modified data</w:t>
      </w:r>
    </w:p>
    <w:p>
      <w:pPr>
        <w:pStyle w:val="9"/>
        <w:numPr>
          <w:ilvl w:val="0"/>
          <w:numId w:val="1"/>
        </w:numPr>
        <w:spacing w:after="0"/>
        <w:rPr>
          <w:sz w:val="24"/>
          <w:szCs w:val="24"/>
        </w:rPr>
      </w:pPr>
      <w:r>
        <w:rPr>
          <w:sz w:val="24"/>
          <w:szCs w:val="24"/>
        </w:rPr>
        <w:t>No trends and no curvature</w:t>
      </w:r>
    </w:p>
    <w:p>
      <w:pPr>
        <w:pStyle w:val="9"/>
        <w:numPr>
          <w:ilvl w:val="0"/>
          <w:numId w:val="1"/>
        </w:numPr>
        <w:rPr>
          <w:sz w:val="24"/>
          <w:szCs w:val="24"/>
        </w:rPr>
      </w:pPr>
      <w:r>
        <w:rPr>
          <w:sz w:val="24"/>
          <w:szCs w:val="24"/>
        </w:rPr>
        <w:t xml:space="preserve">Random and equal spread of residual data is indication of constant variance. </w:t>
      </w:r>
    </w:p>
    <w:p>
      <w:pPr>
        <w:pStyle w:val="9"/>
        <w:numPr>
          <w:ilvl w:val="0"/>
          <w:numId w:val="1"/>
        </w:numPr>
        <w:rPr>
          <w:sz w:val="24"/>
          <w:szCs w:val="24"/>
        </w:rPr>
      </w:pPr>
      <w:r>
        <w:rPr>
          <w:sz w:val="24"/>
          <w:szCs w:val="24"/>
        </w:rPr>
        <w:t xml:space="preserve">There were few visible outliers that were removed in modified data. </w:t>
      </w:r>
    </w:p>
    <w:p>
      <w:pPr>
        <w:ind w:right="-630"/>
      </w:pPr>
      <w:r>
        <w:t>The spread of the responses around the residual line is the same at all levels of the data.</w:t>
      </w:r>
    </w:p>
    <w:p>
      <w:pPr>
        <w:ind w:right="-630"/>
      </w:pPr>
    </w:p>
    <w:p>
      <w:pPr>
        <w:ind w:right="-630"/>
      </w:pPr>
      <w:r>
        <w:rPr>
          <w:b/>
          <w:bCs/>
          <w:u w:val="single"/>
        </w:rPr>
        <w:t>Influential point analysis (Cook’s D and Leverage):</w:t>
      </w:r>
      <w:r>
        <w:rPr>
          <w:b/>
          <w:bCs/>
        </w:rPr>
        <w:t xml:space="preserve"> </w:t>
      </w:r>
      <w:r>
        <w:t>(</w:t>
      </w:r>
      <w:r>
        <w:rPr>
          <w:b/>
          <w:bCs/>
        </w:rPr>
        <w:t>Figure 1.2</w:t>
      </w:r>
      <w:r>
        <w:t xml:space="preserve">) We identified four outliers based on scatter plot, residual plot and Cook’s D plot. Removed the outliers from the original data set and created new data set as modified data set for analysis. </w:t>
      </w:r>
    </w:p>
    <w:p>
      <w:pPr>
        <w:ind w:right="-630"/>
      </w:pPr>
    </w:p>
    <w:p>
      <w:pPr>
        <w:ind w:right="-630"/>
        <w:rPr>
          <w:b/>
          <w:bCs/>
          <w:u w:val="single"/>
        </w:rPr>
      </w:pPr>
      <w:r>
        <w:rPr>
          <w:b/>
          <w:bCs/>
          <w:u w:val="single"/>
        </w:rPr>
        <w:t>Assumptions:</w:t>
      </w:r>
    </w:p>
    <w:p>
      <w:pPr>
        <w:ind w:right="-630"/>
        <w:rPr>
          <w:b/>
          <w:bCs/>
          <w:u w:val="single"/>
        </w:rPr>
      </w:pPr>
    </w:p>
    <w:p>
      <w:r>
        <w:rPr>
          <w:u w:val="single"/>
        </w:rPr>
        <w:t>Linearity:</w:t>
      </w:r>
      <w:r>
        <w:t xml:space="preserve"> (</w:t>
      </w:r>
      <w:r>
        <w:rPr>
          <w:b/>
          <w:bCs/>
        </w:rPr>
        <w:t>Figure 1.3</w:t>
      </w:r>
      <w:r>
        <w:t xml:space="preserve"> and </w:t>
      </w:r>
      <w:r>
        <w:rPr>
          <w:b/>
          <w:bCs/>
        </w:rPr>
        <w:t>Figure 1.4</w:t>
      </w:r>
      <w:r>
        <w:t>) Identified few outliers in original data set. Based on multiple graphs, identified four outliers (</w:t>
      </w:r>
      <w:r>
        <w:rPr>
          <w:b/>
          <w:bCs/>
        </w:rPr>
        <w:t>Table 1.3</w:t>
      </w:r>
      <w:r>
        <w:t>) and removed them. The spread of the responses around the residual line improved, and is the same at all levels of the explanatory variable (Living Area). There is enough evidence from Q-Q plot and scatter plot of modified data to demonstrate the linearity of data. As the square footage of living area is increases, sale price also increases (</w:t>
      </w:r>
      <w:r>
        <w:rPr>
          <w:b/>
          <w:bCs/>
        </w:rPr>
        <w:t>Figure 1.4</w:t>
      </w:r>
      <w:r>
        <w:t xml:space="preserve">). </w:t>
      </w:r>
    </w:p>
    <w:p>
      <w:pPr>
        <w:ind w:right="-630"/>
      </w:pPr>
    </w:p>
    <w:p>
      <w:pPr>
        <w:ind w:right="-630"/>
      </w:pPr>
      <w:r>
        <w:rPr>
          <w:u w:val="single"/>
        </w:rPr>
        <w:t>Normality:</w:t>
      </w:r>
      <w:r>
        <w:t xml:space="preserve"> (</w:t>
      </w:r>
      <w:r>
        <w:rPr>
          <w:b/>
          <w:bCs/>
        </w:rPr>
        <w:t>Figure 1.5</w:t>
      </w:r>
      <w:r>
        <w:t>) There is enough evidence to suggest that the original data follows a normal distribution, as per the Q-Q Plot and histogram (</w:t>
      </w:r>
      <w:r>
        <w:rPr>
          <w:b/>
          <w:bCs/>
        </w:rPr>
        <w:t>Figure 1.5</w:t>
      </w:r>
      <w:r>
        <w:t xml:space="preserve">). Also, the data set is big enough to utilize Central Limit Theorem. The data becomes more linear and closer to trend line after removing the outliers in the scatter plot. Also, the right tail is reduced in histogram, and more aligned with normal curve. </w:t>
      </w:r>
    </w:p>
    <w:p>
      <w:pPr>
        <w:ind w:right="-630"/>
      </w:pPr>
    </w:p>
    <w:p>
      <w:pPr>
        <w:ind w:right="-630"/>
      </w:pPr>
      <w:r>
        <w:rPr>
          <w:u w:val="single"/>
        </w:rPr>
        <w:t>Equal standard deviations:</w:t>
      </w:r>
      <w:r>
        <w:t xml:space="preserve"> (</w:t>
      </w:r>
      <w:r>
        <w:rPr>
          <w:b/>
          <w:bCs/>
        </w:rPr>
        <w:t>Figure 1.1</w:t>
      </w:r>
      <w:r>
        <w:t xml:space="preserve">) The residual graph shows equal spread of data along the zero (0) line. This is enough evidence to suggest that the data has equal standard deviation. Four identified outliers, removed from the original data set, improved the standard errors for most coefficients. </w:t>
      </w:r>
    </w:p>
    <w:p>
      <w:pPr>
        <w:ind w:right="-630"/>
      </w:pPr>
    </w:p>
    <w:p>
      <w:pPr>
        <w:ind w:right="-630"/>
      </w:pPr>
      <w:r>
        <w:rPr>
          <w:u w:val="single"/>
        </w:rPr>
        <w:t>Independence:</w:t>
      </w:r>
      <w:r>
        <w:t xml:space="preserve"> We will assume independence, although not much is known about how these samples were chosen.</w:t>
      </w:r>
    </w:p>
    <w:p>
      <w:pPr>
        <w:ind w:right="-630"/>
      </w:pPr>
    </w:p>
    <w:p>
      <w:pPr>
        <w:ind w:right="-630"/>
      </w:pPr>
      <w:r>
        <w:rPr>
          <w:u w:val="single"/>
        </w:rPr>
        <w:t>Outliers:</w:t>
      </w:r>
      <w:r>
        <w:t xml:space="preserve"> (</w:t>
      </w:r>
      <w:r>
        <w:rPr>
          <w:b/>
          <w:bCs/>
        </w:rPr>
        <w:t>Figure 1.1, Figure 1.2, Figure 1.3, Figure 1.4 and Figure 1.5</w:t>
      </w:r>
      <w:r>
        <w:t>) Based on the residual plot, scatter plot, Cook’s D and Q-Q plot, we identified four outliers (</w:t>
      </w:r>
      <w:r>
        <w:rPr>
          <w:b/>
          <w:bCs/>
        </w:rPr>
        <w:t>Table 1.3</w:t>
      </w:r>
      <w:r>
        <w:t>). They were removed fromm the original data set, and we created new data set to be used for the analysis.</w:t>
      </w:r>
    </w:p>
    <w:p>
      <w:pPr>
        <w:ind w:right="-630"/>
      </w:pPr>
    </w:p>
    <w:p>
      <w:pPr>
        <w:ind w:right="-630"/>
      </w:pPr>
      <w:r>
        <w:t>Based on assumption being met, we will proceed to make inferences on existing data.</w:t>
      </w:r>
    </w:p>
    <w:p>
      <w:pPr>
        <w:ind w:right="-630"/>
      </w:pPr>
    </w:p>
    <w:p>
      <w:pPr>
        <w:rPr>
          <w:b/>
          <w:bCs/>
          <w:u w:val="single"/>
        </w:rPr>
      </w:pPr>
      <w:r>
        <w:rPr>
          <w:b/>
          <w:bCs/>
          <w:u w:val="single"/>
        </w:rPr>
        <w:t>Comparing Competing Models:</w:t>
      </w:r>
    </w:p>
    <w:p/>
    <w:p>
      <w:r>
        <w:t>Model =&gt;</w:t>
      </w:r>
      <w:r>
        <w:rPr>
          <w:rFonts w:hAnsi="Courier New" w:cs="Courier New"/>
          <w:color w:val="000000"/>
          <w:shd w:val="clear" w:color="auto" w:fill="FFFFFF"/>
        </w:rPr>
        <w:t xml:space="preserve"> SalePrice = GrLivArea TotalBsmtSF</w:t>
      </w:r>
    </w:p>
    <w:p>
      <w:pPr>
        <w:rPr>
          <w:rFonts w:hAnsi="Courier New" w:cs="Courier New"/>
          <w:color w:val="000000"/>
          <w:shd w:val="clear" w:color="auto" w:fill="FFFFFF"/>
        </w:rPr>
      </w:pPr>
      <w:r>
        <w:t xml:space="preserve">Competing Model =&gt; </w:t>
      </w:r>
      <w:r>
        <w:rPr>
          <w:rFonts w:hAnsi="Courier New" w:cs="Courier New"/>
          <w:color w:val="000000"/>
          <w:shd w:val="clear" w:color="auto" w:fill="FFFFFF"/>
        </w:rPr>
        <w:t>SalePrice = GrLivArea TotalBsmtSF</w:t>
      </w:r>
    </w:p>
    <w:p/>
    <w:p>
      <w:pPr>
        <w:jc w:val="both"/>
        <w:rPr>
          <w:b/>
          <w:bCs/>
          <w:u w:val="single"/>
        </w:rPr>
      </w:pPr>
      <w:r>
        <w:rPr>
          <w:b/>
          <w:bCs/>
          <w:u w:val="single"/>
        </w:rPr>
        <w:t>Adj R</w:t>
      </w:r>
      <w:r>
        <w:rPr>
          <w:b/>
          <w:bCs/>
          <w:u w:val="single"/>
          <w:vertAlign w:val="superscript"/>
        </w:rPr>
        <w:t xml:space="preserve">2 </w:t>
      </w:r>
      <w:r>
        <w:rPr>
          <w:b/>
          <w:bCs/>
          <w:u w:val="single"/>
        </w:rPr>
        <w:t xml:space="preserve"> and CV Press:</w:t>
      </w:r>
    </w:p>
    <w:p>
      <w:pPr>
        <w:jc w:val="both"/>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06"/>
        <w:gridCol w:w="3166"/>
        <w:gridCol w:w="2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06" w:type="dxa"/>
          </w:tcPr>
          <w:p>
            <w:r>
              <w:t>Model</w:t>
            </w:r>
          </w:p>
        </w:tc>
        <w:tc>
          <w:tcPr>
            <w:tcW w:w="3166" w:type="dxa"/>
          </w:tcPr>
          <w:p>
            <w:r>
              <w:t>Adj R</w:t>
            </w:r>
            <w:r>
              <w:rPr>
                <w:vertAlign w:val="superscript"/>
              </w:rPr>
              <w:t>2</w:t>
            </w:r>
          </w:p>
        </w:tc>
        <w:tc>
          <w:tcPr>
            <w:tcW w:w="2878" w:type="dxa"/>
          </w:tcPr>
          <w:p>
            <w:r>
              <w:t>CV Press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6" w:type="dxa"/>
          </w:tcPr>
          <w:p>
            <w:r>
              <w:t>Model (Outliers removed)</w:t>
            </w:r>
          </w:p>
        </w:tc>
        <w:tc>
          <w:tcPr>
            <w:tcW w:w="3166" w:type="dxa"/>
          </w:tcPr>
          <w:p>
            <w:r>
              <w:t>44.90 % (Ref Table 1.4)</w:t>
            </w:r>
          </w:p>
        </w:tc>
        <w:tc>
          <w:tcPr>
            <w:tcW w:w="2878" w:type="dxa"/>
          </w:tcPr>
          <w:p>
            <w:r>
              <w:t>2.6533E11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6" w:type="dxa"/>
          </w:tcPr>
          <w:p>
            <w:r>
              <w:t>Competing (Outliers removed)</w:t>
            </w:r>
          </w:p>
        </w:tc>
        <w:tc>
          <w:tcPr>
            <w:tcW w:w="3166" w:type="dxa"/>
          </w:tcPr>
          <w:p>
            <w:r>
              <w:t>52.06% (Ref Table 1.5)</w:t>
            </w:r>
          </w:p>
        </w:tc>
        <w:tc>
          <w:tcPr>
            <w:tcW w:w="2878" w:type="dxa"/>
          </w:tcPr>
          <w:p>
            <w:r>
              <w:t>2.35125E11</w:t>
            </w:r>
          </w:p>
        </w:tc>
      </w:tr>
    </w:tbl>
    <w:p>
      <w:pPr>
        <w:rPr>
          <w:u w:val="single"/>
        </w:rPr>
      </w:pPr>
    </w:p>
    <w:p>
      <w:pPr>
        <w:rPr>
          <w:u w:val="single"/>
        </w:rPr>
      </w:pPr>
    </w:p>
    <w:p>
      <w:pPr>
        <w:rPr>
          <w:rFonts w:hAnsi="Times New Roman" w:eastAsia="Times New Roman" w:cs="Times New Roman"/>
          <w:u w:val="single"/>
        </w:rPr>
      </w:pPr>
      <w:r>
        <w:rPr>
          <w:u w:val="single"/>
        </w:rPr>
        <w:t xml:space="preserve">Model for </w:t>
      </w:r>
      <w:r>
        <w:rPr>
          <w:rFonts w:hAnsi="Times New Roman" w:eastAsia="Times New Roman" w:cs="Times New Roman"/>
          <w:u w:val="single"/>
        </w:rPr>
        <w:t>Neighborhood Edwards:</w:t>
      </w:r>
    </w:p>
    <w:p>
      <w:r>
        <w:t>(Neighborhood Edwards = 1 and Neighborhood NAmes = 0)</w:t>
      </w:r>
    </w:p>
    <w:p/>
    <w:p>
      <w:pPr>
        <w:tabs>
          <w:tab w:val="left" w:pos="5916"/>
        </w:tabs>
      </w:pPr>
      <w:r>
        <w:rPr>
          <w:color w:val="000000" w:themeColor="text1"/>
          <w14:textFill>
            <w14:solidFill>
              <w14:schemeClr w14:val="tx1"/>
            </w14:solidFill>
          </w14:textFill>
        </w:rPr>
        <w:t xml:space="preserve">Predicted Sales Price = 19971.51 + </w:t>
      </w:r>
      <w:r>
        <w:rPr>
          <w:rFonts w:cstheme="minorHAnsi"/>
          <w:color w:val="000000" w:themeColor="text1"/>
          <w14:textFill>
            <w14:solidFill>
              <w14:schemeClr w14:val="tx1"/>
            </w14:solidFill>
          </w14:textFill>
        </w:rPr>
        <w:t>87.16</w:t>
      </w:r>
      <w:r>
        <w:rPr>
          <w:color w:val="000000" w:themeColor="text1"/>
          <w14:textFill>
            <w14:solidFill>
              <w14:schemeClr w14:val="tx1"/>
            </w14:solidFill>
          </w14:textFill>
        </w:rPr>
        <w:t xml:space="preserve">GrLivArea + </w:t>
      </w:r>
      <w:r>
        <w:rPr>
          <w:rFonts w:cstheme="minorHAnsi"/>
          <w:color w:val="000000" w:themeColor="text1"/>
          <w14:textFill>
            <w14:solidFill>
              <w14:schemeClr w14:val="tx1"/>
            </w14:solidFill>
          </w14:textFill>
        </w:rPr>
        <w:t>17128.91</w:t>
      </w:r>
      <w:r>
        <w:t xml:space="preserve"> *Neighborhood Edwards + </w:t>
      </w:r>
      <w:r>
        <w:rPr>
          <w:rFonts w:cstheme="minorHAnsi"/>
        </w:rPr>
        <w:t>60354.2*</w:t>
      </w:r>
      <w:r>
        <w:t>Neighborhood NAmes – 17GrLivArea*Neighborhood Edwards – 37.6*GrLivArea*Neighborhood NAmes</w:t>
      </w:r>
    </w:p>
    <w:p/>
    <w:p>
      <w:pPr>
        <w:tabs>
          <w:tab w:val="left" w:pos="5916"/>
        </w:tabs>
      </w:pPr>
      <w:r>
        <w:rPr>
          <w:color w:val="000000" w:themeColor="text1"/>
          <w14:textFill>
            <w14:solidFill>
              <w14:schemeClr w14:val="tx1"/>
            </w14:solidFill>
          </w14:textFill>
        </w:rPr>
        <w:t xml:space="preserve">Predicted Sales Price = 19971.51 + </w:t>
      </w:r>
      <w:r>
        <w:rPr>
          <w:rFonts w:cstheme="minorHAnsi"/>
          <w:color w:val="000000" w:themeColor="text1"/>
          <w14:textFill>
            <w14:solidFill>
              <w14:schemeClr w14:val="tx1"/>
            </w14:solidFill>
          </w14:textFill>
        </w:rPr>
        <w:t>87.16</w:t>
      </w:r>
      <w:r>
        <w:rPr>
          <w:color w:val="000000" w:themeColor="text1"/>
          <w14:textFill>
            <w14:solidFill>
              <w14:schemeClr w14:val="tx1"/>
            </w14:solidFill>
          </w14:textFill>
        </w:rPr>
        <w:t xml:space="preserve">GrLivArea + </w:t>
      </w:r>
      <w:r>
        <w:rPr>
          <w:rFonts w:cstheme="minorHAnsi"/>
          <w:color w:val="000000" w:themeColor="text1"/>
          <w14:textFill>
            <w14:solidFill>
              <w14:schemeClr w14:val="tx1"/>
            </w14:solidFill>
          </w14:textFill>
        </w:rPr>
        <w:t>17128.91</w:t>
      </w:r>
      <w:r>
        <w:t xml:space="preserve"> *(1) + </w:t>
      </w:r>
      <w:r>
        <w:rPr>
          <w:rFonts w:cstheme="minorHAnsi"/>
        </w:rPr>
        <w:t>60354.2*</w:t>
      </w:r>
      <w:r>
        <w:t>(0) – 17GrLivArea*(1) – 37.6*GrLivArea*(0)</w:t>
      </w:r>
    </w:p>
    <w:p>
      <w:pPr>
        <w:tabs>
          <w:tab w:val="left" w:pos="5916"/>
        </w:tabs>
      </w:pPr>
      <w:r>
        <w:rPr>
          <w:color w:val="000000" w:themeColor="text1"/>
          <w14:textFill>
            <w14:solidFill>
              <w14:schemeClr w14:val="tx1"/>
            </w14:solidFill>
          </w14:textFill>
        </w:rPr>
        <w:t xml:space="preserve">Predicted Sales Price = 19971.51 + </w:t>
      </w:r>
      <w:r>
        <w:rPr>
          <w:rFonts w:cstheme="minorHAnsi"/>
          <w:color w:val="000000" w:themeColor="text1"/>
          <w14:textFill>
            <w14:solidFill>
              <w14:schemeClr w14:val="tx1"/>
            </w14:solidFill>
          </w14:textFill>
        </w:rPr>
        <w:t>87.16</w:t>
      </w:r>
      <w:r>
        <w:rPr>
          <w:color w:val="000000" w:themeColor="text1"/>
          <w14:textFill>
            <w14:solidFill>
              <w14:schemeClr w14:val="tx1"/>
            </w14:solidFill>
          </w14:textFill>
        </w:rPr>
        <w:t xml:space="preserve">GrLivArea + </w:t>
      </w:r>
      <w:r>
        <w:rPr>
          <w:rFonts w:cstheme="minorHAnsi"/>
          <w:color w:val="000000" w:themeColor="text1"/>
          <w14:textFill>
            <w14:solidFill>
              <w14:schemeClr w14:val="tx1"/>
            </w14:solidFill>
          </w14:textFill>
        </w:rPr>
        <w:t>17128.91</w:t>
      </w:r>
      <w:r>
        <w:t xml:space="preserve"> – 17GrLivArea</w:t>
      </w:r>
    </w:p>
    <w:p/>
    <w:p>
      <w:pPr>
        <w:tabs>
          <w:tab w:val="left" w:pos="5916"/>
        </w:tabs>
        <w:rPr>
          <w:b/>
          <w:bCs/>
        </w:rPr>
      </w:pPr>
      <w:r>
        <w:rPr>
          <w:b/>
          <w:bCs/>
          <w:color w:val="000000" w:themeColor="text1"/>
          <w14:textFill>
            <w14:solidFill>
              <w14:schemeClr w14:val="tx1"/>
            </w14:solidFill>
          </w14:textFill>
        </w:rPr>
        <w:t>Predicted Sales Price Edwards = 37100.42 + 70.16GrLivArea</w:t>
      </w:r>
    </w:p>
    <w:p/>
    <w:p>
      <w:pPr>
        <w:rPr>
          <w:rFonts w:hAnsi="Times New Roman" w:eastAsia="Times New Roman" w:cs="Times New Roman"/>
          <w:u w:val="single"/>
        </w:rPr>
      </w:pPr>
      <w:r>
        <w:rPr>
          <w:u w:val="single"/>
        </w:rPr>
        <w:t>Model for Neighborhood NAmes</w:t>
      </w:r>
      <w:r>
        <w:rPr>
          <w:rFonts w:hAnsi="Times New Roman" w:eastAsia="Times New Roman" w:cs="Times New Roman"/>
          <w:u w:val="single"/>
        </w:rPr>
        <w:t>:</w:t>
      </w:r>
    </w:p>
    <w:p>
      <w:r>
        <w:t>(Neighborhood Edwards = 0 and  Neighborhood NAmes = 1)</w:t>
      </w:r>
    </w:p>
    <w:p/>
    <w:p>
      <w:pPr>
        <w:tabs>
          <w:tab w:val="left" w:pos="5916"/>
        </w:tabs>
      </w:pPr>
      <w:r>
        <w:rPr>
          <w:color w:val="000000" w:themeColor="text1"/>
          <w14:textFill>
            <w14:solidFill>
              <w14:schemeClr w14:val="tx1"/>
            </w14:solidFill>
          </w14:textFill>
        </w:rPr>
        <w:t xml:space="preserve">Predicted Sales Price = 19971.51 + </w:t>
      </w:r>
      <w:r>
        <w:rPr>
          <w:rFonts w:cstheme="minorHAnsi"/>
          <w:color w:val="000000" w:themeColor="text1"/>
          <w14:textFill>
            <w14:solidFill>
              <w14:schemeClr w14:val="tx1"/>
            </w14:solidFill>
          </w14:textFill>
        </w:rPr>
        <w:t>87.16</w:t>
      </w:r>
      <w:r>
        <w:rPr>
          <w:color w:val="000000" w:themeColor="text1"/>
          <w14:textFill>
            <w14:solidFill>
              <w14:schemeClr w14:val="tx1"/>
            </w14:solidFill>
          </w14:textFill>
        </w:rPr>
        <w:t xml:space="preserve">GrLivArea + </w:t>
      </w:r>
      <w:r>
        <w:rPr>
          <w:rFonts w:cstheme="minorHAnsi"/>
          <w:color w:val="000000" w:themeColor="text1"/>
          <w14:textFill>
            <w14:solidFill>
              <w14:schemeClr w14:val="tx1"/>
            </w14:solidFill>
          </w14:textFill>
        </w:rPr>
        <w:t>17128.91</w:t>
      </w:r>
      <w:r>
        <w:t xml:space="preserve"> *Neighborhood Edwards + </w:t>
      </w:r>
      <w:r>
        <w:rPr>
          <w:rFonts w:cstheme="minorHAnsi"/>
        </w:rPr>
        <w:t>60354.2*</w:t>
      </w:r>
      <w:r>
        <w:t>Neighborhood NAmes – 17GrLivArea*Neighborhood Edwards – 37.6*GrLivArea*Neighborhood NAmes</w:t>
      </w:r>
    </w:p>
    <w:p/>
    <w:p>
      <w:pPr>
        <w:tabs>
          <w:tab w:val="left" w:pos="5916"/>
        </w:tabs>
      </w:pPr>
      <w:r>
        <w:rPr>
          <w:color w:val="000000" w:themeColor="text1"/>
          <w14:textFill>
            <w14:solidFill>
              <w14:schemeClr w14:val="tx1"/>
            </w14:solidFill>
          </w14:textFill>
        </w:rPr>
        <w:t xml:space="preserve">Predicted Sales Price = 19971.51 + </w:t>
      </w:r>
      <w:r>
        <w:rPr>
          <w:rFonts w:cstheme="minorHAnsi"/>
          <w:color w:val="000000" w:themeColor="text1"/>
          <w14:textFill>
            <w14:solidFill>
              <w14:schemeClr w14:val="tx1"/>
            </w14:solidFill>
          </w14:textFill>
        </w:rPr>
        <w:t>87.16</w:t>
      </w:r>
      <w:r>
        <w:rPr>
          <w:color w:val="000000" w:themeColor="text1"/>
          <w14:textFill>
            <w14:solidFill>
              <w14:schemeClr w14:val="tx1"/>
            </w14:solidFill>
          </w14:textFill>
        </w:rPr>
        <w:t xml:space="preserve">GrLivArea + </w:t>
      </w:r>
      <w:r>
        <w:rPr>
          <w:rFonts w:cstheme="minorHAnsi"/>
          <w:color w:val="000000" w:themeColor="text1"/>
          <w14:textFill>
            <w14:solidFill>
              <w14:schemeClr w14:val="tx1"/>
            </w14:solidFill>
          </w14:textFill>
        </w:rPr>
        <w:t>17128.91</w:t>
      </w:r>
      <w:r>
        <w:t xml:space="preserve"> *(0) + </w:t>
      </w:r>
      <w:r>
        <w:rPr>
          <w:rFonts w:cstheme="minorHAnsi"/>
        </w:rPr>
        <w:t>60354.2*</w:t>
      </w:r>
      <w:r>
        <w:t>(1) – 17GrLivArea*(0) – 37.6*GrLivArea*(1)</w:t>
      </w:r>
    </w:p>
    <w:p>
      <w:pPr>
        <w:tabs>
          <w:tab w:val="left" w:pos="5916"/>
        </w:tabs>
      </w:pPr>
      <w:r>
        <w:rPr>
          <w:color w:val="000000" w:themeColor="text1"/>
          <w14:textFill>
            <w14:solidFill>
              <w14:schemeClr w14:val="tx1"/>
            </w14:solidFill>
          </w14:textFill>
        </w:rPr>
        <w:t xml:space="preserve">Predicted Sales Price = 19971.51 + </w:t>
      </w:r>
      <w:r>
        <w:rPr>
          <w:rFonts w:cstheme="minorHAnsi"/>
          <w:color w:val="000000" w:themeColor="text1"/>
          <w14:textFill>
            <w14:solidFill>
              <w14:schemeClr w14:val="tx1"/>
            </w14:solidFill>
          </w14:textFill>
        </w:rPr>
        <w:t>87.16</w:t>
      </w:r>
      <w:r>
        <w:rPr>
          <w:color w:val="000000" w:themeColor="text1"/>
          <w14:textFill>
            <w14:solidFill>
              <w14:schemeClr w14:val="tx1"/>
            </w14:solidFill>
          </w14:textFill>
        </w:rPr>
        <w:t xml:space="preserve">GrLivArea + </w:t>
      </w:r>
      <w:r>
        <w:t xml:space="preserve"> </w:t>
      </w:r>
      <w:r>
        <w:rPr>
          <w:rFonts w:cstheme="minorHAnsi"/>
        </w:rPr>
        <w:t>60354.2</w:t>
      </w:r>
      <w:r>
        <w:t>– 37.6GrLivArea</w:t>
      </w:r>
    </w:p>
    <w:p/>
    <w:p>
      <w:pPr>
        <w:tabs>
          <w:tab w:val="left" w:pos="5916"/>
        </w:tabs>
        <w:rPr>
          <w:b/>
          <w:bCs/>
        </w:rPr>
      </w:pPr>
      <w:r>
        <w:rPr>
          <w:b/>
          <w:bCs/>
          <w:color w:val="000000" w:themeColor="text1"/>
          <w14:textFill>
            <w14:solidFill>
              <w14:schemeClr w14:val="tx1"/>
            </w14:solidFill>
          </w14:textFill>
        </w:rPr>
        <w:t>Predicted Sales Price for NAmes = 80325.71 + 49.56*GrLivArea</w:t>
      </w:r>
    </w:p>
    <w:p/>
    <w:p>
      <w:pPr>
        <w:rPr>
          <w:rFonts w:hAnsi="Times New Roman" w:eastAsia="Times New Roman" w:cs="Times New Roman"/>
          <w:u w:val="single"/>
        </w:rPr>
      </w:pPr>
      <w:r>
        <w:rPr>
          <w:u w:val="single"/>
        </w:rPr>
        <w:t xml:space="preserve">Model for Neighborhood </w:t>
      </w:r>
      <w:r>
        <w:rPr>
          <w:rFonts w:hAnsi="Times New Roman" w:eastAsia="Times New Roman" w:cs="Times New Roman"/>
          <w:u w:val="single"/>
        </w:rPr>
        <w:t>BrkSide:</w:t>
      </w:r>
    </w:p>
    <w:p>
      <w:r>
        <w:t>(Neighborhood Edwards = 0 and  Neighborhood NAmes = 0)</w:t>
      </w:r>
    </w:p>
    <w:p/>
    <w:p>
      <w:pPr>
        <w:tabs>
          <w:tab w:val="left" w:pos="5916"/>
        </w:tabs>
      </w:pPr>
      <w:r>
        <w:rPr>
          <w:color w:val="000000" w:themeColor="text1"/>
          <w14:textFill>
            <w14:solidFill>
              <w14:schemeClr w14:val="tx1"/>
            </w14:solidFill>
          </w14:textFill>
        </w:rPr>
        <w:t xml:space="preserve">Predicted Sales Price = 19971.51 + </w:t>
      </w:r>
      <w:r>
        <w:rPr>
          <w:rFonts w:cstheme="minorHAnsi"/>
          <w:color w:val="000000" w:themeColor="text1"/>
          <w14:textFill>
            <w14:solidFill>
              <w14:schemeClr w14:val="tx1"/>
            </w14:solidFill>
          </w14:textFill>
        </w:rPr>
        <w:t>87.16</w:t>
      </w:r>
      <w:r>
        <w:rPr>
          <w:color w:val="000000" w:themeColor="text1"/>
          <w14:textFill>
            <w14:solidFill>
              <w14:schemeClr w14:val="tx1"/>
            </w14:solidFill>
          </w14:textFill>
        </w:rPr>
        <w:t xml:space="preserve">GrLivArea + </w:t>
      </w:r>
      <w:r>
        <w:rPr>
          <w:rFonts w:cstheme="minorHAnsi"/>
          <w:color w:val="000000" w:themeColor="text1"/>
          <w14:textFill>
            <w14:solidFill>
              <w14:schemeClr w14:val="tx1"/>
            </w14:solidFill>
          </w14:textFill>
        </w:rPr>
        <w:t>17128.91</w:t>
      </w:r>
      <w:r>
        <w:t xml:space="preserve"> *Neighborhood Edwards + </w:t>
      </w:r>
      <w:r>
        <w:rPr>
          <w:rFonts w:cstheme="minorHAnsi"/>
        </w:rPr>
        <w:t>60354.2*</w:t>
      </w:r>
      <w:r>
        <w:t>Neighborhood NAmes – 17GrLivArea*Neighborhood Edwards – 37.6*GrLivArea*Neighborhood NAmes</w:t>
      </w:r>
    </w:p>
    <w:p/>
    <w:p>
      <w:pPr>
        <w:tabs>
          <w:tab w:val="left" w:pos="5916"/>
        </w:tabs>
      </w:pPr>
      <w:r>
        <w:rPr>
          <w:color w:val="000000" w:themeColor="text1"/>
          <w14:textFill>
            <w14:solidFill>
              <w14:schemeClr w14:val="tx1"/>
            </w14:solidFill>
          </w14:textFill>
        </w:rPr>
        <w:t xml:space="preserve">Predicted Sales Price = 19971.51 + </w:t>
      </w:r>
      <w:r>
        <w:rPr>
          <w:rFonts w:cstheme="minorHAnsi"/>
          <w:color w:val="000000" w:themeColor="text1"/>
          <w14:textFill>
            <w14:solidFill>
              <w14:schemeClr w14:val="tx1"/>
            </w14:solidFill>
          </w14:textFill>
        </w:rPr>
        <w:t>87.16</w:t>
      </w:r>
      <w:r>
        <w:rPr>
          <w:color w:val="000000" w:themeColor="text1"/>
          <w14:textFill>
            <w14:solidFill>
              <w14:schemeClr w14:val="tx1"/>
            </w14:solidFill>
          </w14:textFill>
        </w:rPr>
        <w:t xml:space="preserve">GrLivArea + </w:t>
      </w:r>
      <w:r>
        <w:rPr>
          <w:rFonts w:cstheme="minorHAnsi"/>
          <w:color w:val="000000" w:themeColor="text1"/>
          <w14:textFill>
            <w14:solidFill>
              <w14:schemeClr w14:val="tx1"/>
            </w14:solidFill>
          </w14:textFill>
        </w:rPr>
        <w:t>17128.91</w:t>
      </w:r>
      <w:r>
        <w:t xml:space="preserve"> *(0) + </w:t>
      </w:r>
      <w:r>
        <w:rPr>
          <w:rFonts w:cstheme="minorHAnsi"/>
        </w:rPr>
        <w:t>60354.2*</w:t>
      </w:r>
      <w:r>
        <w:t>(0) – 17GrLivArea*(0) – 37.6*GrLivArea*(0)</w:t>
      </w:r>
    </w:p>
    <w:p>
      <w:pPr>
        <w:tabs>
          <w:tab w:val="left" w:pos="5916"/>
        </w:tabs>
      </w:pPr>
      <w:r>
        <w:rPr>
          <w:color w:val="000000" w:themeColor="text1"/>
          <w14:textFill>
            <w14:solidFill>
              <w14:schemeClr w14:val="tx1"/>
            </w14:solidFill>
          </w14:textFill>
        </w:rPr>
        <w:t xml:space="preserve">Predicted Sales Price = 19971.51 + </w:t>
      </w:r>
      <w:r>
        <w:rPr>
          <w:rFonts w:cstheme="minorHAnsi"/>
          <w:color w:val="000000" w:themeColor="text1"/>
          <w14:textFill>
            <w14:solidFill>
              <w14:schemeClr w14:val="tx1"/>
            </w14:solidFill>
          </w14:textFill>
        </w:rPr>
        <w:t>87.16</w:t>
      </w:r>
      <w:r>
        <w:rPr>
          <w:color w:val="000000" w:themeColor="text1"/>
          <w14:textFill>
            <w14:solidFill>
              <w14:schemeClr w14:val="tx1"/>
            </w14:solidFill>
          </w14:textFill>
        </w:rPr>
        <w:t xml:space="preserve">GrLivArea </w:t>
      </w:r>
    </w:p>
    <w:p/>
    <w:p>
      <w:pPr>
        <w:tabs>
          <w:tab w:val="left" w:pos="5916"/>
        </w:tabs>
      </w:pPr>
      <w:r>
        <w:rPr>
          <w:b/>
          <w:bCs/>
          <w:color w:val="000000" w:themeColor="text1"/>
          <w14:textFill>
            <w14:solidFill>
              <w14:schemeClr w14:val="tx1"/>
            </w14:solidFill>
          </w14:textFill>
        </w:rPr>
        <w:t xml:space="preserve">Predicted Sales Price  for BrkSide= 19971.51 + </w:t>
      </w:r>
      <w:r>
        <w:rPr>
          <w:rFonts w:cstheme="minorHAnsi"/>
          <w:b/>
          <w:bCs/>
          <w:color w:val="000000" w:themeColor="text1"/>
          <w14:textFill>
            <w14:solidFill>
              <w14:schemeClr w14:val="tx1"/>
            </w14:solidFill>
          </w14:textFill>
        </w:rPr>
        <w:t>87.16</w:t>
      </w:r>
      <w:r>
        <w:rPr>
          <w:b/>
          <w:bCs/>
          <w:color w:val="000000" w:themeColor="text1"/>
          <w14:textFill>
            <w14:solidFill>
              <w14:schemeClr w14:val="tx1"/>
            </w14:solidFill>
          </w14:textFill>
        </w:rPr>
        <w:t>GrLivArea</w:t>
      </w:r>
    </w:p>
    <w:p>
      <w:pPr>
        <w:rPr>
          <w:b/>
        </w:rPr>
      </w:pPr>
      <w:r>
        <w:t xml:space="preserve"> </w:t>
      </w:r>
    </w:p>
    <w:tbl>
      <w:tblPr>
        <w:tblStyle w:val="7"/>
        <w:tblW w:w="95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75" w:type="dxa"/>
          <w:left w:w="75" w:type="dxa"/>
          <w:bottom w:w="75" w:type="dxa"/>
          <w:right w:w="75" w:type="dxa"/>
        </w:tblCellMar>
      </w:tblPr>
      <w:tblGrid>
        <w:gridCol w:w="1705"/>
        <w:gridCol w:w="1260"/>
        <w:gridCol w:w="1168"/>
        <w:gridCol w:w="1080"/>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5" w:type="dxa"/>
            <w:left w:w="75" w:type="dxa"/>
            <w:bottom w:w="75" w:type="dxa"/>
            <w:right w:w="75" w:type="dxa"/>
          </w:tblCellMar>
        </w:tblPrEx>
        <w:trPr>
          <w:tblHeader/>
          <w:jc w:val="center"/>
        </w:trPr>
        <w:tc>
          <w:tcPr>
            <w:tcW w:w="1705" w:type="dxa"/>
          </w:tcPr>
          <w:p>
            <w:pPr>
              <w:rPr>
                <w:rFonts w:hAnsi="Times New Roman" w:eastAsia="Times New Roman" w:cs="Times New Roman"/>
                <w:b/>
                <w:bCs/>
              </w:rPr>
            </w:pPr>
            <w:r>
              <w:rPr>
                <w:rFonts w:hAnsi="Times New Roman" w:eastAsia="Times New Roman" w:cs="Times New Roman"/>
                <w:b/>
                <w:bCs/>
              </w:rPr>
              <w:t>Parameter</w:t>
            </w:r>
          </w:p>
        </w:tc>
        <w:tc>
          <w:tcPr>
            <w:tcW w:w="1260" w:type="dxa"/>
          </w:tcPr>
          <w:p>
            <w:pPr>
              <w:jc w:val="right"/>
              <w:rPr>
                <w:rFonts w:hAnsi="Times New Roman" w:eastAsia="Times New Roman" w:cs="Times New Roman"/>
                <w:b/>
                <w:bCs/>
              </w:rPr>
            </w:pPr>
            <w:r>
              <w:rPr>
                <w:rFonts w:hAnsi="Times New Roman" w:eastAsia="Times New Roman" w:cs="Times New Roman"/>
                <w:b/>
                <w:bCs/>
              </w:rPr>
              <w:t>Estimate</w:t>
            </w:r>
          </w:p>
        </w:tc>
        <w:tc>
          <w:tcPr>
            <w:tcW w:w="2248" w:type="dxa"/>
            <w:gridSpan w:val="2"/>
          </w:tcPr>
          <w:p>
            <w:pPr>
              <w:jc w:val="center"/>
              <w:rPr>
                <w:rFonts w:hAnsi="Times New Roman" w:eastAsia="Times New Roman" w:cs="Times New Roman"/>
                <w:b/>
                <w:bCs/>
              </w:rPr>
            </w:pPr>
            <w:r>
              <w:rPr>
                <w:rFonts w:hAnsi="Times New Roman" w:eastAsia="Times New Roman" w:cs="Times New Roman"/>
                <w:b/>
                <w:bCs/>
              </w:rPr>
              <w:t>95% Conf Limits</w:t>
            </w:r>
          </w:p>
        </w:tc>
        <w:tc>
          <w:tcPr>
            <w:tcW w:w="4322" w:type="dxa"/>
          </w:tcPr>
          <w:p>
            <w:pPr>
              <w:jc w:val="center"/>
              <w:rPr>
                <w:rFonts w:hAnsi="Times New Roman" w:eastAsia="Times New Roman" w:cs="Times New Roman"/>
                <w:b/>
                <w:bCs/>
              </w:rPr>
            </w:pPr>
            <w:r>
              <w:rPr>
                <w:rFonts w:hAnsi="Times New Roman" w:eastAsia="Times New Roman" w:cs="Times New Roman"/>
                <w:b/>
                <w:bCs/>
              </w:rPr>
              <w:t>Interpretation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5" w:type="dxa"/>
            <w:left w:w="75" w:type="dxa"/>
            <w:bottom w:w="75" w:type="dxa"/>
            <w:right w:w="75" w:type="dxa"/>
          </w:tblCellMar>
        </w:tblPrEx>
        <w:trPr>
          <w:jc w:val="center"/>
        </w:trPr>
        <w:tc>
          <w:tcPr>
            <w:tcW w:w="1705" w:type="dxa"/>
          </w:tcPr>
          <w:p>
            <w:pPr>
              <w:rPr>
                <w:rFonts w:hAnsi="Times New Roman" w:eastAsia="Times New Roman" w:cs="Times New Roman"/>
                <w:b/>
                <w:bCs/>
              </w:rPr>
            </w:pPr>
            <w:r>
              <w:rPr>
                <w:rFonts w:hAnsi="Times New Roman" w:eastAsia="Times New Roman" w:cs="Times New Roman"/>
                <w:b/>
                <w:bCs/>
              </w:rPr>
              <w:t>Intercept</w:t>
            </w:r>
          </w:p>
        </w:tc>
        <w:tc>
          <w:tcPr>
            <w:tcW w:w="1260" w:type="dxa"/>
          </w:tcPr>
          <w:p>
            <w:pPr>
              <w:jc w:val="right"/>
              <w:rPr>
                <w:rFonts w:hAnsi="Times New Roman" w:eastAsia="Times New Roman" w:cs="Times New Roman"/>
              </w:rPr>
            </w:pPr>
            <w:r>
              <w:rPr>
                <w:rFonts w:hAnsi="Times New Roman" w:eastAsia="Times New Roman" w:cs="Times New Roman"/>
              </w:rPr>
              <w:t>19971.51</w:t>
            </w:r>
          </w:p>
        </w:tc>
        <w:tc>
          <w:tcPr>
            <w:tcW w:w="1168" w:type="dxa"/>
            <w:noWrap/>
          </w:tcPr>
          <w:p>
            <w:pPr>
              <w:jc w:val="right"/>
              <w:rPr>
                <w:rFonts w:hAnsi="Times New Roman" w:eastAsia="Times New Roman" w:cs="Times New Roman"/>
              </w:rPr>
            </w:pPr>
            <w:r>
              <w:rPr>
                <w:rFonts w:hAnsi="Times New Roman" w:eastAsia="Times New Roman" w:cs="Times New Roman"/>
              </w:rPr>
              <w:t>-1039.27</w:t>
            </w:r>
          </w:p>
        </w:tc>
        <w:tc>
          <w:tcPr>
            <w:tcW w:w="1080" w:type="dxa"/>
          </w:tcPr>
          <w:p>
            <w:pPr>
              <w:jc w:val="right"/>
              <w:rPr>
                <w:rFonts w:hAnsi="Times New Roman" w:eastAsia="Times New Roman" w:cs="Times New Roman"/>
              </w:rPr>
            </w:pPr>
            <w:r>
              <w:rPr>
                <w:rFonts w:hAnsi="Times New Roman" w:eastAsia="Times New Roman" w:cs="Times New Roman"/>
              </w:rPr>
              <w:t>40982.30</w:t>
            </w:r>
          </w:p>
        </w:tc>
        <w:tc>
          <w:tcPr>
            <w:tcW w:w="4322" w:type="dxa"/>
          </w:tcPr>
          <w:p>
            <w:pPr>
              <w:rPr>
                <w:rFonts w:hAnsi="Times New Roman" w:eastAsia="Times New Roman" w:cs="Times New Roman"/>
              </w:rPr>
            </w:pPr>
            <w:r>
              <w:rPr>
                <w:rFonts w:hAnsi="Times New Roman" w:eastAsia="Times New Roman" w:cs="Times New Roman"/>
              </w:rPr>
              <w:t>With zero living area predicted mean sale price will be ~$20,000, likely the cost of land. We are 95% confident the true mean value is between -$1K and $41K.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5" w:type="dxa"/>
            <w:left w:w="75" w:type="dxa"/>
            <w:bottom w:w="75" w:type="dxa"/>
            <w:right w:w="75" w:type="dxa"/>
          </w:tblCellMar>
        </w:tblPrEx>
        <w:trPr>
          <w:jc w:val="center"/>
        </w:trPr>
        <w:tc>
          <w:tcPr>
            <w:tcW w:w="1705" w:type="dxa"/>
          </w:tcPr>
          <w:p>
            <w:pPr>
              <w:rPr>
                <w:rFonts w:hAnsi="Times New Roman" w:eastAsia="Times New Roman" w:cs="Times New Roman"/>
                <w:b/>
                <w:bCs/>
              </w:rPr>
            </w:pPr>
            <w:r>
              <w:rPr>
                <w:rFonts w:hAnsi="Times New Roman" w:eastAsia="Times New Roman" w:cs="Times New Roman"/>
                <w:b/>
                <w:bCs/>
              </w:rPr>
              <w:t>GrLivArea</w:t>
            </w:r>
          </w:p>
        </w:tc>
        <w:tc>
          <w:tcPr>
            <w:tcW w:w="1260" w:type="dxa"/>
          </w:tcPr>
          <w:p>
            <w:pPr>
              <w:jc w:val="right"/>
              <w:rPr>
                <w:rFonts w:hAnsi="Times New Roman" w:eastAsia="Times New Roman" w:cs="Times New Roman"/>
              </w:rPr>
            </w:pPr>
            <w:r>
              <w:rPr>
                <w:rFonts w:hAnsi="Times New Roman" w:eastAsia="Times New Roman" w:cs="Times New Roman"/>
              </w:rPr>
              <w:t>87.16</w:t>
            </w:r>
          </w:p>
        </w:tc>
        <w:tc>
          <w:tcPr>
            <w:tcW w:w="1168" w:type="dxa"/>
          </w:tcPr>
          <w:p>
            <w:pPr>
              <w:jc w:val="right"/>
              <w:rPr>
                <w:rFonts w:hAnsi="Times New Roman" w:eastAsia="Times New Roman" w:cs="Times New Roman"/>
              </w:rPr>
            </w:pPr>
            <w:r>
              <w:rPr>
                <w:rFonts w:hAnsi="Times New Roman" w:eastAsia="Times New Roman" w:cs="Times New Roman"/>
              </w:rPr>
              <w:t>70.52</w:t>
            </w:r>
          </w:p>
        </w:tc>
        <w:tc>
          <w:tcPr>
            <w:tcW w:w="1080" w:type="dxa"/>
          </w:tcPr>
          <w:p>
            <w:pPr>
              <w:jc w:val="right"/>
              <w:rPr>
                <w:rFonts w:hAnsi="Times New Roman" w:eastAsia="Times New Roman" w:cs="Times New Roman"/>
              </w:rPr>
            </w:pPr>
            <w:r>
              <w:rPr>
                <w:rFonts w:hAnsi="Times New Roman" w:eastAsia="Times New Roman" w:cs="Times New Roman"/>
              </w:rPr>
              <w:t>103.80</w:t>
            </w:r>
          </w:p>
        </w:tc>
        <w:tc>
          <w:tcPr>
            <w:tcW w:w="4322" w:type="dxa"/>
          </w:tcPr>
          <w:p>
            <w:pPr>
              <w:rPr>
                <w:rFonts w:hAnsi="Times New Roman" w:eastAsia="Times New Roman" w:cs="Times New Roman"/>
              </w:rPr>
            </w:pPr>
            <w:r>
              <w:rPr>
                <w:rFonts w:hAnsi="Times New Roman" w:eastAsia="Times New Roman" w:cs="Times New Roman"/>
              </w:rPr>
              <w:t>With every increase in square foot of living area, predicted sales price increases by ~$87. We are 95% confident the true mean increase in sales price per square foot is between $70 and $103.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5" w:type="dxa"/>
            <w:left w:w="75" w:type="dxa"/>
            <w:bottom w:w="75" w:type="dxa"/>
            <w:right w:w="75" w:type="dxa"/>
          </w:tblCellMar>
        </w:tblPrEx>
        <w:trPr>
          <w:jc w:val="center"/>
        </w:trPr>
        <w:tc>
          <w:tcPr>
            <w:tcW w:w="1705" w:type="dxa"/>
          </w:tcPr>
          <w:p>
            <w:pPr>
              <w:rPr>
                <w:rFonts w:hAnsi="Times New Roman" w:eastAsia="Times New Roman" w:cs="Times New Roman"/>
                <w:b/>
                <w:bCs/>
              </w:rPr>
            </w:pPr>
            <w:r>
              <w:rPr>
                <w:rFonts w:hAnsi="Times New Roman" w:eastAsia="Times New Roman" w:cs="Times New Roman"/>
                <w:b/>
                <w:bCs/>
              </w:rPr>
              <w:t>Neighborhood Edwards</w:t>
            </w:r>
          </w:p>
        </w:tc>
        <w:tc>
          <w:tcPr>
            <w:tcW w:w="1260" w:type="dxa"/>
          </w:tcPr>
          <w:p>
            <w:pPr>
              <w:jc w:val="right"/>
              <w:rPr>
                <w:rFonts w:hAnsi="Times New Roman" w:eastAsia="Times New Roman" w:cs="Times New Roman"/>
              </w:rPr>
            </w:pPr>
            <w:r>
              <w:rPr>
                <w:rFonts w:hAnsi="Times New Roman" w:eastAsia="Times New Roman" w:cs="Times New Roman"/>
              </w:rPr>
              <w:t>17128.91</w:t>
            </w:r>
          </w:p>
        </w:tc>
        <w:tc>
          <w:tcPr>
            <w:tcW w:w="1168" w:type="dxa"/>
            <w:noWrap/>
          </w:tcPr>
          <w:p>
            <w:pPr>
              <w:jc w:val="right"/>
              <w:rPr>
                <w:rFonts w:hAnsi="Times New Roman" w:eastAsia="Times New Roman" w:cs="Times New Roman"/>
              </w:rPr>
            </w:pPr>
            <w:r>
              <w:rPr>
                <w:rFonts w:hAnsi="Times New Roman" w:eastAsia="Times New Roman" w:cs="Times New Roman"/>
              </w:rPr>
              <w:t>-10704.48</w:t>
            </w:r>
          </w:p>
        </w:tc>
        <w:tc>
          <w:tcPr>
            <w:tcW w:w="1080" w:type="dxa"/>
          </w:tcPr>
          <w:p>
            <w:pPr>
              <w:jc w:val="right"/>
              <w:rPr>
                <w:rFonts w:hAnsi="Times New Roman" w:eastAsia="Times New Roman" w:cs="Times New Roman"/>
              </w:rPr>
            </w:pPr>
            <w:r>
              <w:rPr>
                <w:rFonts w:hAnsi="Times New Roman" w:eastAsia="Times New Roman" w:cs="Times New Roman"/>
              </w:rPr>
              <w:t>44962.30</w:t>
            </w:r>
          </w:p>
        </w:tc>
        <w:tc>
          <w:tcPr>
            <w:tcW w:w="4322" w:type="dxa"/>
          </w:tcPr>
          <w:p>
            <w:pPr>
              <w:rPr>
                <w:rFonts w:hAnsi="Times New Roman" w:eastAsia="Times New Roman" w:cs="Times New Roman"/>
              </w:rPr>
            </w:pPr>
            <w:r>
              <w:rPr>
                <w:rFonts w:hAnsi="Times New Roman" w:eastAsia="Times New Roman" w:cs="Times New Roman"/>
              </w:rPr>
              <w:t>The predicted premium to buy homes in the Edwards neighborhood holding other variables constant is ~$17K. We are 95% confident the true sale price premium is between -$10K and $45K.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5" w:type="dxa"/>
            <w:left w:w="75" w:type="dxa"/>
            <w:bottom w:w="75" w:type="dxa"/>
            <w:right w:w="75" w:type="dxa"/>
          </w:tblCellMar>
        </w:tblPrEx>
        <w:trPr>
          <w:jc w:val="center"/>
        </w:trPr>
        <w:tc>
          <w:tcPr>
            <w:tcW w:w="1705" w:type="dxa"/>
          </w:tcPr>
          <w:p>
            <w:pPr>
              <w:rPr>
                <w:rFonts w:hAnsi="Times New Roman" w:eastAsia="Times New Roman" w:cs="Times New Roman"/>
                <w:b/>
                <w:bCs/>
              </w:rPr>
            </w:pPr>
            <w:r>
              <w:rPr>
                <w:rFonts w:hAnsi="Times New Roman" w:eastAsia="Times New Roman" w:cs="Times New Roman"/>
                <w:b/>
                <w:bCs/>
              </w:rPr>
              <w:t>Neighborhood NAmes</w:t>
            </w:r>
          </w:p>
        </w:tc>
        <w:tc>
          <w:tcPr>
            <w:tcW w:w="1260" w:type="dxa"/>
          </w:tcPr>
          <w:p>
            <w:pPr>
              <w:jc w:val="right"/>
              <w:rPr>
                <w:rFonts w:hAnsi="Times New Roman" w:eastAsia="Times New Roman" w:cs="Times New Roman"/>
              </w:rPr>
            </w:pPr>
            <w:r>
              <w:rPr>
                <w:rFonts w:hAnsi="Times New Roman" w:eastAsia="Times New Roman" w:cs="Times New Roman"/>
              </w:rPr>
              <w:t>60354.20</w:t>
            </w:r>
          </w:p>
        </w:tc>
        <w:tc>
          <w:tcPr>
            <w:tcW w:w="1168" w:type="dxa"/>
          </w:tcPr>
          <w:p>
            <w:pPr>
              <w:jc w:val="right"/>
              <w:rPr>
                <w:rFonts w:hAnsi="Times New Roman" w:eastAsia="Times New Roman" w:cs="Times New Roman"/>
              </w:rPr>
            </w:pPr>
            <w:r>
              <w:rPr>
                <w:rFonts w:hAnsi="Times New Roman" w:eastAsia="Times New Roman" w:cs="Times New Roman"/>
              </w:rPr>
              <w:t>36640.01</w:t>
            </w:r>
          </w:p>
        </w:tc>
        <w:tc>
          <w:tcPr>
            <w:tcW w:w="1080" w:type="dxa"/>
          </w:tcPr>
          <w:p>
            <w:pPr>
              <w:jc w:val="right"/>
              <w:rPr>
                <w:rFonts w:hAnsi="Times New Roman" w:eastAsia="Times New Roman" w:cs="Times New Roman"/>
              </w:rPr>
            </w:pPr>
            <w:r>
              <w:rPr>
                <w:rFonts w:hAnsi="Times New Roman" w:eastAsia="Times New Roman" w:cs="Times New Roman"/>
              </w:rPr>
              <w:t>84068.38</w:t>
            </w:r>
          </w:p>
        </w:tc>
        <w:tc>
          <w:tcPr>
            <w:tcW w:w="4322" w:type="dxa"/>
          </w:tcPr>
          <w:p>
            <w:pPr>
              <w:rPr>
                <w:rFonts w:hAnsi="Times New Roman" w:eastAsia="Times New Roman" w:cs="Times New Roman"/>
              </w:rPr>
            </w:pPr>
            <w:r>
              <w:rPr>
                <w:rFonts w:hAnsi="Times New Roman" w:eastAsia="Times New Roman" w:cs="Times New Roman"/>
              </w:rPr>
              <w:t>The predicted premium to buy homes in NAmes neighborhood holding other variables constant is  ~$60K. We are 95% confident that the true sale price premium is between -$36K and $84K.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5" w:type="dxa"/>
            <w:left w:w="75" w:type="dxa"/>
            <w:bottom w:w="75" w:type="dxa"/>
            <w:right w:w="75" w:type="dxa"/>
          </w:tblCellMar>
        </w:tblPrEx>
        <w:trPr>
          <w:jc w:val="center"/>
        </w:trPr>
        <w:tc>
          <w:tcPr>
            <w:tcW w:w="1705" w:type="dxa"/>
          </w:tcPr>
          <w:p>
            <w:pPr>
              <w:rPr>
                <w:rFonts w:hAnsi="Times New Roman" w:eastAsia="Times New Roman" w:cs="Times New Roman"/>
                <w:b/>
                <w:bCs/>
              </w:rPr>
            </w:pPr>
            <w:r>
              <w:rPr>
                <w:rFonts w:hAnsi="Times New Roman" w:eastAsia="Times New Roman" w:cs="Times New Roman"/>
                <w:b/>
                <w:bCs/>
              </w:rPr>
              <w:t>Neighborhood BrkSide</w:t>
            </w:r>
          </w:p>
        </w:tc>
        <w:tc>
          <w:tcPr>
            <w:tcW w:w="1260" w:type="dxa"/>
          </w:tcPr>
          <w:p>
            <w:pPr>
              <w:jc w:val="right"/>
              <w:rPr>
                <w:rFonts w:hAnsi="Times New Roman" w:eastAsia="Times New Roman" w:cs="Times New Roman"/>
              </w:rPr>
            </w:pPr>
            <w:r>
              <w:rPr>
                <w:rFonts w:hAnsi="Times New Roman" w:eastAsia="Times New Roman" w:cs="Times New Roman"/>
              </w:rPr>
              <w:t>0.0</w:t>
            </w:r>
          </w:p>
        </w:tc>
        <w:tc>
          <w:tcPr>
            <w:tcW w:w="1168" w:type="dxa"/>
          </w:tcPr>
          <w:p>
            <w:pPr>
              <w:jc w:val="right"/>
              <w:rPr>
                <w:rFonts w:hAnsi="Times New Roman" w:eastAsia="Times New Roman" w:cs="Times New Roman"/>
              </w:rPr>
            </w:pPr>
            <w:r>
              <w:rPr>
                <w:rFonts w:hAnsi="Times New Roman" w:eastAsia="Times New Roman" w:cs="Times New Roman"/>
              </w:rPr>
              <w:t>.</w:t>
            </w:r>
          </w:p>
        </w:tc>
        <w:tc>
          <w:tcPr>
            <w:tcW w:w="1080" w:type="dxa"/>
          </w:tcPr>
          <w:p>
            <w:pPr>
              <w:jc w:val="right"/>
              <w:rPr>
                <w:rFonts w:hAnsi="Times New Roman" w:eastAsia="Times New Roman" w:cs="Times New Roman"/>
              </w:rPr>
            </w:pPr>
            <w:r>
              <w:rPr>
                <w:rFonts w:hAnsi="Times New Roman" w:eastAsia="Times New Roman" w:cs="Times New Roman"/>
              </w:rPr>
              <w:t>.</w:t>
            </w:r>
          </w:p>
        </w:tc>
        <w:tc>
          <w:tcPr>
            <w:tcW w:w="4322" w:type="dxa"/>
          </w:tcPr>
          <w:p>
            <w:pPr>
              <w:rPr>
                <w:rFonts w:hAnsi="Times New Roman" w:eastAsia="Times New Roman" w:cs="Times New Roman"/>
              </w:rPr>
            </w:pPr>
            <w:r>
              <w:rPr>
                <w:rFonts w:hAnsi="Times New Roman" w:eastAsia="Times New Roman" w:cs="Times New Roman"/>
              </w:rPr>
              <w:t>Using BrkSide as reference Neighborhood.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5" w:type="dxa"/>
            <w:left w:w="75" w:type="dxa"/>
            <w:bottom w:w="75" w:type="dxa"/>
            <w:right w:w="75" w:type="dxa"/>
          </w:tblCellMar>
        </w:tblPrEx>
        <w:trPr>
          <w:jc w:val="center"/>
        </w:trPr>
        <w:tc>
          <w:tcPr>
            <w:tcW w:w="1705" w:type="dxa"/>
          </w:tcPr>
          <w:p>
            <w:pPr>
              <w:rPr>
                <w:rFonts w:hAnsi="Times New Roman" w:eastAsia="Times New Roman" w:cs="Times New Roman"/>
                <w:b/>
                <w:bCs/>
              </w:rPr>
            </w:pPr>
            <w:r>
              <w:rPr>
                <w:rFonts w:hAnsi="Times New Roman" w:eastAsia="Times New Roman" w:cs="Times New Roman"/>
                <w:b/>
                <w:bCs/>
              </w:rPr>
              <w:t>GrLivArea*Neighborho Edwards</w:t>
            </w:r>
          </w:p>
        </w:tc>
        <w:tc>
          <w:tcPr>
            <w:tcW w:w="1260" w:type="dxa"/>
            <w:noWrap/>
          </w:tcPr>
          <w:p>
            <w:pPr>
              <w:jc w:val="right"/>
              <w:rPr>
                <w:rFonts w:hAnsi="Times New Roman" w:eastAsia="Times New Roman" w:cs="Times New Roman"/>
              </w:rPr>
            </w:pPr>
            <w:r>
              <w:rPr>
                <w:rFonts w:hAnsi="Times New Roman" w:eastAsia="Times New Roman" w:cs="Times New Roman"/>
              </w:rPr>
              <w:t>-17.00</w:t>
            </w:r>
          </w:p>
        </w:tc>
        <w:tc>
          <w:tcPr>
            <w:tcW w:w="1168" w:type="dxa"/>
            <w:noWrap/>
          </w:tcPr>
          <w:p>
            <w:pPr>
              <w:jc w:val="right"/>
              <w:rPr>
                <w:rFonts w:hAnsi="Times New Roman" w:eastAsia="Times New Roman" w:cs="Times New Roman"/>
              </w:rPr>
            </w:pPr>
            <w:r>
              <w:rPr>
                <w:rFonts w:hAnsi="Times New Roman" w:eastAsia="Times New Roman" w:cs="Times New Roman"/>
              </w:rPr>
              <w:t>-38.74</w:t>
            </w:r>
          </w:p>
        </w:tc>
        <w:tc>
          <w:tcPr>
            <w:tcW w:w="1080" w:type="dxa"/>
          </w:tcPr>
          <w:p>
            <w:pPr>
              <w:jc w:val="right"/>
              <w:rPr>
                <w:rFonts w:hAnsi="Times New Roman" w:eastAsia="Times New Roman" w:cs="Times New Roman"/>
              </w:rPr>
            </w:pPr>
            <w:r>
              <w:rPr>
                <w:rFonts w:hAnsi="Times New Roman" w:eastAsia="Times New Roman" w:cs="Times New Roman"/>
              </w:rPr>
              <w:t>4.73</w:t>
            </w:r>
          </w:p>
        </w:tc>
        <w:tc>
          <w:tcPr>
            <w:tcW w:w="4322" w:type="dxa"/>
          </w:tcPr>
          <w:p>
            <w:pPr>
              <w:rPr>
                <w:rFonts w:hAnsi="Times New Roman" w:eastAsia="Times New Roman" w:cs="Times New Roman"/>
              </w:rPr>
            </w:pPr>
            <w:r>
              <w:rPr>
                <w:rFonts w:hAnsi="Times New Roman" w:eastAsia="Times New Roman" w:cs="Times New Roman"/>
              </w:rPr>
              <w:t xml:space="preserve">Predicted mean sale price in Edward neighborhood decreases by $17 per square foot holding other variables constant. We are 95% confident the true change in sale Price per square foot living area is between -$38 and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5" w:type="dxa"/>
            <w:left w:w="75" w:type="dxa"/>
            <w:bottom w:w="75" w:type="dxa"/>
            <w:right w:w="75" w:type="dxa"/>
          </w:tblCellMar>
        </w:tblPrEx>
        <w:trPr>
          <w:jc w:val="center"/>
        </w:trPr>
        <w:tc>
          <w:tcPr>
            <w:tcW w:w="1705" w:type="dxa"/>
          </w:tcPr>
          <w:p>
            <w:pPr>
              <w:rPr>
                <w:rFonts w:hAnsi="Times New Roman" w:eastAsia="Times New Roman" w:cs="Times New Roman"/>
                <w:b/>
                <w:bCs/>
              </w:rPr>
            </w:pPr>
            <w:r>
              <w:rPr>
                <w:rFonts w:hAnsi="Times New Roman" w:eastAsia="Times New Roman" w:cs="Times New Roman"/>
                <w:b/>
                <w:bCs/>
              </w:rPr>
              <w:t>GrLivArea*Neighborho NAmes</w:t>
            </w:r>
          </w:p>
        </w:tc>
        <w:tc>
          <w:tcPr>
            <w:tcW w:w="1260" w:type="dxa"/>
            <w:noWrap/>
          </w:tcPr>
          <w:p>
            <w:pPr>
              <w:jc w:val="right"/>
              <w:rPr>
                <w:rFonts w:hAnsi="Times New Roman" w:eastAsia="Times New Roman" w:cs="Times New Roman"/>
              </w:rPr>
            </w:pPr>
            <w:r>
              <w:rPr>
                <w:rFonts w:hAnsi="Times New Roman" w:eastAsia="Times New Roman" w:cs="Times New Roman"/>
              </w:rPr>
              <w:t>-37.60</w:t>
            </w:r>
          </w:p>
        </w:tc>
        <w:tc>
          <w:tcPr>
            <w:tcW w:w="1168" w:type="dxa"/>
            <w:noWrap/>
          </w:tcPr>
          <w:p>
            <w:pPr>
              <w:jc w:val="right"/>
              <w:rPr>
                <w:rFonts w:hAnsi="Times New Roman" w:eastAsia="Times New Roman" w:cs="Times New Roman"/>
              </w:rPr>
            </w:pPr>
            <w:r>
              <w:rPr>
                <w:rFonts w:hAnsi="Times New Roman" w:eastAsia="Times New Roman" w:cs="Times New Roman"/>
              </w:rPr>
              <w:t>-56.09</w:t>
            </w:r>
          </w:p>
        </w:tc>
        <w:tc>
          <w:tcPr>
            <w:tcW w:w="1080" w:type="dxa"/>
            <w:noWrap/>
          </w:tcPr>
          <w:p>
            <w:pPr>
              <w:jc w:val="right"/>
              <w:rPr>
                <w:rFonts w:hAnsi="Times New Roman" w:eastAsia="Times New Roman" w:cs="Times New Roman"/>
              </w:rPr>
            </w:pPr>
            <w:r>
              <w:rPr>
                <w:rFonts w:hAnsi="Times New Roman" w:eastAsia="Times New Roman" w:cs="Times New Roman"/>
              </w:rPr>
              <w:t>-19.11</w:t>
            </w:r>
          </w:p>
        </w:tc>
        <w:tc>
          <w:tcPr>
            <w:tcW w:w="4322" w:type="dxa"/>
          </w:tcPr>
          <w:p>
            <w:pPr>
              <w:rPr>
                <w:rFonts w:hAnsi="Times New Roman" w:eastAsia="Times New Roman" w:cs="Times New Roman"/>
              </w:rPr>
            </w:pPr>
            <w:r>
              <w:rPr>
                <w:rFonts w:hAnsi="Times New Roman" w:eastAsia="Times New Roman" w:cs="Times New Roman"/>
              </w:rPr>
              <w:t>Predicted mean sale price in NAmes neighborhood decreases by $37.60 per square foot holding other variables constant. We are 95% confident the true mean decrease is between -$56.07 and -$19.11.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5" w:type="dxa"/>
            <w:left w:w="75" w:type="dxa"/>
            <w:bottom w:w="75" w:type="dxa"/>
            <w:right w:w="75" w:type="dxa"/>
          </w:tblCellMar>
        </w:tblPrEx>
        <w:trPr>
          <w:jc w:val="center"/>
        </w:trPr>
        <w:tc>
          <w:tcPr>
            <w:tcW w:w="1705" w:type="dxa"/>
          </w:tcPr>
          <w:p>
            <w:pPr>
              <w:rPr>
                <w:rFonts w:hAnsi="Times New Roman" w:eastAsia="Times New Roman" w:cs="Times New Roman"/>
                <w:b/>
                <w:bCs/>
              </w:rPr>
            </w:pPr>
            <w:r>
              <w:rPr>
                <w:rFonts w:hAnsi="Times New Roman" w:eastAsia="Times New Roman" w:cs="Times New Roman"/>
                <w:b/>
                <w:bCs/>
              </w:rPr>
              <w:t>GrLivArea*Neighborho BrkSide</w:t>
            </w:r>
          </w:p>
        </w:tc>
        <w:tc>
          <w:tcPr>
            <w:tcW w:w="1260" w:type="dxa"/>
          </w:tcPr>
          <w:p>
            <w:pPr>
              <w:jc w:val="right"/>
              <w:rPr>
                <w:rFonts w:hAnsi="Times New Roman" w:eastAsia="Times New Roman" w:cs="Times New Roman"/>
              </w:rPr>
            </w:pPr>
            <w:r>
              <w:rPr>
                <w:rFonts w:hAnsi="Times New Roman" w:eastAsia="Times New Roman" w:cs="Times New Roman"/>
              </w:rPr>
              <w:t>0.0</w:t>
            </w:r>
          </w:p>
        </w:tc>
        <w:tc>
          <w:tcPr>
            <w:tcW w:w="1168" w:type="dxa"/>
          </w:tcPr>
          <w:p>
            <w:pPr>
              <w:jc w:val="right"/>
              <w:rPr>
                <w:rFonts w:hAnsi="Times New Roman" w:eastAsia="Times New Roman" w:cs="Times New Roman"/>
              </w:rPr>
            </w:pPr>
            <w:r>
              <w:rPr>
                <w:rFonts w:hAnsi="Times New Roman" w:eastAsia="Times New Roman" w:cs="Times New Roman"/>
              </w:rPr>
              <w:t>.</w:t>
            </w:r>
          </w:p>
        </w:tc>
        <w:tc>
          <w:tcPr>
            <w:tcW w:w="1080" w:type="dxa"/>
          </w:tcPr>
          <w:p>
            <w:pPr>
              <w:jc w:val="right"/>
              <w:rPr>
                <w:rFonts w:hAnsi="Times New Roman" w:eastAsia="Times New Roman" w:cs="Times New Roman"/>
              </w:rPr>
            </w:pPr>
            <w:r>
              <w:rPr>
                <w:rFonts w:hAnsi="Times New Roman" w:eastAsia="Times New Roman" w:cs="Times New Roman"/>
              </w:rPr>
              <w:t>.</w:t>
            </w:r>
          </w:p>
        </w:tc>
        <w:tc>
          <w:tcPr>
            <w:tcW w:w="4322" w:type="dxa"/>
          </w:tcPr>
          <w:p>
            <w:pPr>
              <w:rPr>
                <w:rFonts w:hAnsi="Times New Roman" w:eastAsia="Times New Roman" w:cs="Times New Roman"/>
              </w:rPr>
            </w:pPr>
            <w:r>
              <w:rPr>
                <w:rFonts w:hAnsi="Times New Roman" w:eastAsia="Times New Roman" w:cs="Times New Roman"/>
              </w:rPr>
              <w:t>Using BrkSide as reference Neighborhood.</w:t>
            </w:r>
          </w:p>
        </w:tc>
      </w:tr>
    </w:tbl>
    <w:p>
      <w:pPr>
        <w:rPr>
          <w:b/>
        </w:rPr>
      </w:pPr>
    </w:p>
    <w:p>
      <w:pPr>
        <w:rPr>
          <w:rFonts w:hAnsi="Arial" w:cs="Arial"/>
          <w:color w:val="111111"/>
          <w:shd w:val="clear" w:color="auto" w:fill="FFFFFF"/>
        </w:rPr>
      </w:pPr>
      <w:r>
        <w:rPr>
          <w:b/>
          <w:bCs/>
          <w:u w:val="single"/>
        </w:rPr>
        <w:t>Conclusion:</w:t>
      </w:r>
      <w:r>
        <w:t xml:space="preserve"> The </w:t>
      </w:r>
      <w:r>
        <w:rPr>
          <w:rFonts w:hAnsi="Arial" w:cs="Arial"/>
          <w:color w:val="111111"/>
          <w:shd w:val="clear" w:color="auto" w:fill="FFFFFF"/>
        </w:rPr>
        <w:t>model with removed outliers represents the proportion of the variance for sales price that is explained by neighborhood and living area in a regression model is only 44% (Adjusted R</w:t>
      </w:r>
      <w:r>
        <w:rPr>
          <w:rFonts w:hAnsi="Arial" w:cs="Arial"/>
          <w:color w:val="111111"/>
          <w:shd w:val="clear" w:color="auto" w:fill="FFFFFF"/>
          <w:vertAlign w:val="superscript"/>
        </w:rPr>
        <w:t>2</w:t>
      </w:r>
      <w:r>
        <w:rPr>
          <w:rFonts w:hAnsi="Arial" w:cs="Arial"/>
          <w:color w:val="111111"/>
          <w:shd w:val="clear" w:color="auto" w:fill="FFFFFF"/>
        </w:rPr>
        <w:t>).</w:t>
      </w:r>
    </w:p>
    <w:p>
      <w:pPr>
        <w:rPr>
          <w:rFonts w:hAnsi="Arial" w:cs="Arial"/>
          <w:color w:val="111111"/>
          <w:shd w:val="clear" w:color="auto" w:fill="FFFFFF"/>
        </w:rPr>
      </w:pPr>
    </w:p>
    <w:p>
      <w:pPr>
        <w:rPr>
          <w:rFonts w:hAnsi="Arial" w:cs="Arial"/>
          <w:color w:val="111111"/>
          <w:shd w:val="clear" w:color="auto" w:fill="FFFFFF"/>
        </w:rPr>
      </w:pPr>
      <w:r>
        <w:rPr>
          <w:rFonts w:hAnsi="Arial" w:cs="Arial"/>
          <w:color w:val="111111"/>
          <w:shd w:val="clear" w:color="auto" w:fill="FFFFFF"/>
        </w:rPr>
        <w:t xml:space="preserve">However, the competing model with basement area explained 52% of variance in sales price in a regression model. </w:t>
      </w:r>
    </w:p>
    <w:p>
      <w:pPr>
        <w:ind w:firstLine="720"/>
        <w:rPr>
          <w:rFonts w:hAnsi="Arial" w:cs="Arial"/>
          <w:color w:val="111111"/>
          <w:shd w:val="clear" w:color="auto" w:fill="FFFFFF"/>
        </w:rPr>
      </w:pPr>
    </w:p>
    <w:p>
      <w:r>
        <w:rPr>
          <w:rFonts w:hAnsi="Arial" w:cs="Arial"/>
          <w:color w:val="111111"/>
          <w:shd w:val="clear" w:color="auto" w:fill="FFFFFF"/>
        </w:rPr>
        <w:t>We should consider building a stronger model that includes more than living area and basement area to get better predictions.</w:t>
      </w:r>
    </w:p>
    <w:p>
      <w:pPr>
        <w:rPr>
          <w:b/>
          <w:bCs/>
          <w:u w:val="single"/>
        </w:rPr>
      </w:pPr>
    </w:p>
    <w:p>
      <w:pPr>
        <w:rPr>
          <w:b/>
          <w:bCs/>
        </w:rPr>
      </w:pPr>
      <w:r>
        <w:rPr>
          <w:b/>
          <w:bCs/>
        </w:rPr>
        <w:t>Analysis Question 2:</w:t>
      </w:r>
    </w:p>
    <w:p/>
    <w:p>
      <w:r>
        <w:rPr>
          <w:b/>
          <w:bCs/>
        </w:rPr>
        <w:t xml:space="preserve">Restatement of Problem: </w:t>
      </w:r>
      <w:r>
        <w:t>Our client wants us to use the variables available to us in the data to build a model predicting sale price based on relevant variables.</w:t>
      </w:r>
    </w:p>
    <w:p/>
    <w:p>
      <w:pPr>
        <w:ind w:right="-630"/>
        <w:rPr>
          <w:b/>
          <w:bCs/>
        </w:rPr>
      </w:pPr>
      <w:r>
        <w:rPr>
          <w:b/>
          <w:bCs/>
        </w:rPr>
        <w:t>Checking Assumptions:</w:t>
      </w:r>
    </w:p>
    <w:p>
      <w:pPr>
        <w:ind w:right="-630"/>
      </w:pPr>
      <w:r>
        <w:rPr>
          <w:b/>
        </w:rPr>
        <w:tab/>
      </w:r>
      <w:r>
        <w:rPr>
          <w:b/>
        </w:rPr>
        <w:tab/>
      </w:r>
    </w:p>
    <w:p>
      <w:pPr>
        <w:rPr>
          <w:b/>
          <w:bCs/>
          <w:u w:val="single"/>
        </w:rPr>
      </w:pPr>
      <w:r>
        <w:rPr>
          <w:b/>
          <w:bCs/>
          <w:u w:val="single"/>
        </w:rPr>
        <w:t>Residual Spread (constant Variance):</w:t>
      </w:r>
      <w:r>
        <w:rPr>
          <w:b/>
          <w:bCs/>
        </w:rPr>
        <w:t xml:space="preserve"> </w:t>
      </w:r>
      <w:r>
        <w:t>(</w:t>
      </w:r>
      <w:r>
        <w:rPr>
          <w:b/>
          <w:bCs/>
        </w:rPr>
        <w:t>Figure 2.1</w:t>
      </w:r>
      <w:r>
        <w:t>)</w:t>
      </w:r>
    </w:p>
    <w:p>
      <w:pPr>
        <w:pStyle w:val="9"/>
        <w:numPr>
          <w:ilvl w:val="0"/>
          <w:numId w:val="1"/>
        </w:numPr>
        <w:spacing w:after="0"/>
        <w:rPr>
          <w:sz w:val="24"/>
          <w:szCs w:val="24"/>
        </w:rPr>
      </w:pPr>
      <w:r>
        <w:rPr>
          <w:sz w:val="24"/>
          <w:szCs w:val="24"/>
        </w:rPr>
        <w:t>Even scatter with modified data</w:t>
      </w:r>
    </w:p>
    <w:p>
      <w:pPr>
        <w:pStyle w:val="9"/>
        <w:numPr>
          <w:ilvl w:val="0"/>
          <w:numId w:val="1"/>
        </w:numPr>
        <w:spacing w:after="0"/>
        <w:rPr>
          <w:sz w:val="24"/>
          <w:szCs w:val="24"/>
        </w:rPr>
      </w:pPr>
      <w:r>
        <w:rPr>
          <w:sz w:val="24"/>
          <w:szCs w:val="24"/>
        </w:rPr>
        <w:t>No trends and no curvature</w:t>
      </w:r>
    </w:p>
    <w:p>
      <w:pPr>
        <w:pStyle w:val="9"/>
        <w:numPr>
          <w:ilvl w:val="0"/>
          <w:numId w:val="1"/>
        </w:numPr>
        <w:rPr>
          <w:sz w:val="24"/>
          <w:szCs w:val="24"/>
        </w:rPr>
      </w:pPr>
      <w:r>
        <w:rPr>
          <w:sz w:val="24"/>
          <w:szCs w:val="24"/>
        </w:rPr>
        <w:t xml:space="preserve">Random and equal spread of residual data is indication of constant variance. </w:t>
      </w:r>
    </w:p>
    <w:p>
      <w:pPr>
        <w:pStyle w:val="9"/>
        <w:numPr>
          <w:ilvl w:val="0"/>
          <w:numId w:val="1"/>
        </w:numPr>
        <w:rPr>
          <w:sz w:val="24"/>
          <w:szCs w:val="24"/>
        </w:rPr>
      </w:pPr>
      <w:r>
        <w:rPr>
          <w:sz w:val="24"/>
          <w:szCs w:val="24"/>
        </w:rPr>
        <w:t xml:space="preserve">There were few visible outliers that were removed in modified data. </w:t>
      </w:r>
    </w:p>
    <w:p>
      <w:pPr>
        <w:ind w:right="-630"/>
      </w:pPr>
      <w:r>
        <w:t>The spread of the responses around the residual line is the same at all levels of the data.</w:t>
      </w:r>
    </w:p>
    <w:p>
      <w:pPr>
        <w:ind w:right="-630"/>
      </w:pPr>
    </w:p>
    <w:p>
      <w:pPr>
        <w:ind w:right="-630"/>
      </w:pPr>
      <w:r>
        <w:rPr>
          <w:b/>
          <w:bCs/>
          <w:u w:val="single"/>
        </w:rPr>
        <w:t>Influential point analysis (Cook’s D and Leverage):</w:t>
      </w:r>
      <w:r>
        <w:rPr>
          <w:b/>
          <w:bCs/>
        </w:rPr>
        <w:t xml:space="preserve"> </w:t>
      </w:r>
      <w:r>
        <w:t>(</w:t>
      </w:r>
      <w:r>
        <w:rPr>
          <w:b/>
          <w:bCs/>
        </w:rPr>
        <w:t>Figure 2.2, 2.3, 2.4</w:t>
      </w:r>
      <w:r>
        <w:t xml:space="preserve">) We identified outliers based on scatter plot, residual plot and Cook’s D plot. Removed the outliers from the original data set and created new data set as modified data set for analysis. </w:t>
      </w:r>
    </w:p>
    <w:p>
      <w:pPr>
        <w:ind w:right="-630"/>
      </w:pPr>
    </w:p>
    <w:p>
      <w:pPr>
        <w:ind w:right="-630"/>
        <w:rPr>
          <w:b/>
          <w:bCs/>
          <w:u w:val="single"/>
        </w:rPr>
      </w:pPr>
      <w:r>
        <w:rPr>
          <w:b/>
          <w:bCs/>
          <w:u w:val="single"/>
        </w:rPr>
        <w:t>Assumptions:</w:t>
      </w:r>
    </w:p>
    <w:p>
      <w:pPr>
        <w:ind w:right="-630"/>
        <w:rPr>
          <w:b/>
          <w:bCs/>
          <w:u w:val="single"/>
        </w:rPr>
      </w:pPr>
    </w:p>
    <w:p>
      <w:r>
        <w:rPr>
          <w:u w:val="single"/>
        </w:rPr>
        <w:t>Linearity:</w:t>
      </w:r>
      <w:r>
        <w:t xml:space="preserve"> (</w:t>
      </w:r>
      <w:r>
        <w:rPr>
          <w:b/>
          <w:bCs/>
        </w:rPr>
        <w:t>Figure 2.2</w:t>
      </w:r>
      <w:r>
        <w:t xml:space="preserve"> and </w:t>
      </w:r>
      <w:r>
        <w:rPr>
          <w:b/>
          <w:bCs/>
        </w:rPr>
        <w:t>Figure 2.3</w:t>
      </w:r>
      <w:r>
        <w:t xml:space="preserve">) Identified few outliers in original data set. Based on multiple graphs, identified four outliers and removed them. The spread of the responses around the residual line improved, and is the same at all levels of the explanatory variable (Living Area). There is enough evidence from Q-Q plot and scatter plot of modified data to demonstrate the linearity of data. </w:t>
      </w:r>
    </w:p>
    <w:p>
      <w:pPr>
        <w:ind w:right="-630"/>
      </w:pPr>
    </w:p>
    <w:p>
      <w:pPr>
        <w:rPr>
          <w:color w:val="000000"/>
        </w:rPr>
      </w:pPr>
      <w:r>
        <w:rPr>
          <w:u w:val="single"/>
        </w:rPr>
        <w:t>Normality:</w:t>
      </w:r>
      <w:r>
        <w:t xml:space="preserve"> (</w:t>
      </w:r>
      <w:r>
        <w:rPr>
          <w:b/>
          <w:bCs/>
        </w:rPr>
        <w:t>Figure 2.2, 2.3, 2.4</w:t>
      </w:r>
      <w:r>
        <w:t xml:space="preserve">) Judging from scatter plot, q-q plot, and histogram of residuals, there isn’t enough evidence against normality. </w:t>
      </w:r>
      <w:r>
        <w:rPr>
          <w:color w:val="000000"/>
        </w:rPr>
        <w:t>Also, the data set is big enough to utilize Central Limit Theorem.</w:t>
      </w:r>
    </w:p>
    <w:p>
      <w:pPr>
        <w:ind w:right="-630"/>
      </w:pPr>
    </w:p>
    <w:p>
      <w:pPr>
        <w:ind w:right="-630"/>
      </w:pPr>
      <w:r>
        <w:rPr>
          <w:u w:val="single"/>
        </w:rPr>
        <w:t>Equal standard deviations:</w:t>
      </w:r>
      <w:r>
        <w:t xml:space="preserve"> (</w:t>
      </w:r>
      <w:r>
        <w:rPr>
          <w:b/>
          <w:bCs/>
        </w:rPr>
        <w:t>Figure 2.2</w:t>
      </w:r>
      <w:r>
        <w:t xml:space="preserve">) The residual graph shows equal spread of data along the zero (0) line. This is enough evidence to suggest that the data has equal standard deviation. </w:t>
      </w:r>
      <w:r>
        <w:rPr>
          <w:u w:val="single"/>
        </w:rPr>
        <w:t>Independence:</w:t>
      </w:r>
      <w:r>
        <w:t xml:space="preserve"> We will assume independence, although not much is known about how these samples were chosen.</w:t>
      </w:r>
    </w:p>
    <w:p>
      <w:pPr>
        <w:ind w:right="-630"/>
      </w:pPr>
    </w:p>
    <w:p>
      <w:pPr>
        <w:ind w:right="-630"/>
      </w:pPr>
      <w:r>
        <w:rPr>
          <w:u w:val="single"/>
        </w:rPr>
        <w:t>Outliers:</w:t>
      </w:r>
      <w:r>
        <w:t xml:space="preserve"> Based on the left cooks D plot on the left, we Identified a few outliers. We later deleted them from the original data, and</w:t>
      </w:r>
      <w:r>
        <w:rPr>
          <w:color w:val="000000"/>
        </w:rPr>
        <w:t xml:space="preserve"> we created  a new data set to be used for the analysis. (</w:t>
      </w:r>
      <w:r>
        <w:rPr>
          <w:b/>
          <w:bCs/>
          <w:color w:val="000000"/>
        </w:rPr>
        <w:t>Figure 2.4</w:t>
      </w:r>
      <w:r>
        <w:rPr>
          <w:color w:val="000000"/>
        </w:rPr>
        <w:t>)</w:t>
      </w:r>
    </w:p>
    <w:p>
      <w:pPr>
        <w:ind w:right="-630"/>
      </w:pPr>
    </w:p>
    <w:p>
      <w:r>
        <w:t>Based on assumption being met, we will proceed to make inferences on existing data.</w:t>
      </w:r>
    </w:p>
    <w:p/>
    <w:p>
      <w:r>
        <w:rPr>
          <w:b/>
          <w:bCs/>
        </w:rPr>
        <w:t>Model Selection:</w:t>
      </w:r>
    </w:p>
    <w:p>
      <w:pPr>
        <w:ind w:right="-630"/>
      </w:pPr>
    </w:p>
    <w:p>
      <w:pPr>
        <w:ind w:right="-634"/>
        <w:rPr>
          <w:b/>
          <w:bCs/>
        </w:rPr>
      </w:pPr>
      <w:r>
        <w:t>We identified 13 data points as outliers via iterative testing and removed them from our model, in order to ensure higher accuracy.</w:t>
      </w:r>
    </w:p>
    <w:p>
      <w:pPr>
        <w:ind w:right="-634"/>
        <w:rPr>
          <w:b/>
          <w:bCs/>
        </w:rPr>
      </w:pPr>
    </w:p>
    <w:p>
      <w:pPr>
        <w:ind w:right="-634"/>
        <w:rPr>
          <w:b/>
          <w:bCs/>
        </w:rPr>
      </w:pPr>
      <w:r>
        <w:rPr>
          <w:b/>
          <w:bCs/>
        </w:rPr>
        <w:t xml:space="preserve">Forward selection: </w:t>
      </w:r>
      <w:r>
        <w:t>We utilized the quantitative variables in the data set to produce a forward selection model with twelve parameters and an adjusted r-squared of 0.86.</w:t>
      </w:r>
      <w:r>
        <w:rPr>
          <w:b/>
          <w:bCs/>
        </w:rPr>
        <w:t xml:space="preserve"> </w:t>
      </w:r>
      <w:r>
        <w:t>(</w:t>
      </w:r>
      <w:r>
        <w:rPr>
          <w:b/>
          <w:bCs/>
        </w:rPr>
        <w:t>Table 2.1</w:t>
      </w:r>
      <w:r>
        <w:t>)</w:t>
      </w:r>
    </w:p>
    <w:p>
      <w:pPr>
        <w:ind w:right="-634"/>
      </w:pPr>
    </w:p>
    <w:p>
      <w:pPr>
        <w:ind w:right="-634"/>
      </w:pPr>
      <w:r>
        <w:rPr>
          <w:b/>
          <w:bCs/>
        </w:rPr>
        <w:t xml:space="preserve">Backward selection: </w:t>
      </w:r>
      <w:r>
        <w:t>We utilized the quantitative variables in the data set to produce a backward selection model with twelve parameters and an adjusted r-squared of 0.86. (</w:t>
      </w:r>
      <w:r>
        <w:rPr>
          <w:b/>
          <w:bCs/>
        </w:rPr>
        <w:t>Table 2.2</w:t>
      </w:r>
      <w:r>
        <w:t>)</w:t>
      </w:r>
    </w:p>
    <w:p>
      <w:pPr>
        <w:ind w:right="-634"/>
      </w:pPr>
    </w:p>
    <w:p>
      <w:pPr>
        <w:ind w:right="-634"/>
      </w:pPr>
      <w:r>
        <w:rPr>
          <w:b/>
          <w:color w:val="000000" w:themeColor="text1"/>
          <w14:textFill>
            <w14:solidFill>
              <w14:schemeClr w14:val="tx1"/>
            </w14:solidFill>
          </w14:textFill>
        </w:rPr>
        <w:t xml:space="preserve">Stepwise section: </w:t>
      </w:r>
      <w:r>
        <w:t>We utilized the quantitative variables in the data set to produce a stepwise selection model with twelve parameters and an adjusted r-squared of 0.86. (</w:t>
      </w:r>
      <w:r>
        <w:rPr>
          <w:b/>
          <w:bCs/>
        </w:rPr>
        <w:t>Table 2.3</w:t>
      </w:r>
      <w:r>
        <w:t>)</w:t>
      </w:r>
    </w:p>
    <w:p>
      <w:pPr>
        <w:ind w:right="-634"/>
      </w:pPr>
    </w:p>
    <w:p>
      <w:pPr>
        <w:ind w:right="-634"/>
      </w:pPr>
      <w:r>
        <w:rPr>
          <w:b/>
          <w:bCs/>
        </w:rPr>
        <w:t xml:space="preserve">Custom model: </w:t>
      </w:r>
      <w:r>
        <w:t>We fine tuned the model using the twelve quantitative variables that came from the initial model investigations. We then used ANOVAs to determine which categorical variables had a significant effect on sales price. Utilizing the 40 categorical variables that had significant differences in mean sales price between levels, we created scales based on the median sale price of each and incorporated them into the model. The result is a model with 19 parameters and an adjusted r-squared of 0.88. (</w:t>
      </w:r>
      <w:r>
        <w:rPr>
          <w:b/>
          <w:bCs/>
        </w:rPr>
        <w:t>Table 2.4</w:t>
      </w:r>
      <w:r>
        <w:t>)</w:t>
      </w:r>
    </w:p>
    <w:p>
      <w:pPr>
        <w:ind w:right="-634"/>
      </w:pPr>
    </w:p>
    <w:p>
      <w:pPr>
        <w:ind w:right="-634"/>
      </w:pPr>
      <w:r>
        <w:rPr>
          <w:b/>
          <w:bCs/>
          <w:u w:val="single"/>
        </w:rPr>
        <w:t>Custom Model:</w:t>
      </w:r>
    </w:p>
    <w:p>
      <w:pPr>
        <w:ind w:right="-634"/>
      </w:pPr>
      <w:r>
        <w:rPr>
          <w:i/>
          <w:iCs/>
        </w:rPr>
        <w:t>Sale Price</w:t>
      </w:r>
      <w:r>
        <w:t xml:space="preserve"> = -855,372 -91.46(</w:t>
      </w:r>
      <w:r>
        <w:rPr>
          <w:i/>
          <w:iCs/>
        </w:rPr>
        <w:t>MSSubClass</w:t>
      </w:r>
      <w:r>
        <w:t>) +0.69(</w:t>
      </w:r>
      <w:r>
        <w:rPr>
          <w:i/>
          <w:iCs/>
        </w:rPr>
        <w:t>LotArea</w:t>
      </w:r>
      <w:r>
        <w:t>) +11,169(</w:t>
      </w:r>
      <w:r>
        <w:rPr>
          <w:i/>
          <w:iCs/>
        </w:rPr>
        <w:t>OverallQual</w:t>
      </w:r>
      <w:r>
        <w:t>) +4,568.31(</w:t>
      </w:r>
      <w:r>
        <w:rPr>
          <w:i/>
          <w:iCs/>
        </w:rPr>
        <w:t>OverallCond</w:t>
      </w:r>
      <w:r>
        <w:t>) +261.57(</w:t>
      </w:r>
      <w:r>
        <w:rPr>
          <w:i/>
          <w:iCs/>
        </w:rPr>
        <w:t>YearBuilt</w:t>
      </w:r>
      <w:r>
        <w:t>) +23.69(</w:t>
      </w:r>
      <w:r>
        <w:rPr>
          <w:i/>
          <w:iCs/>
        </w:rPr>
        <w:t>BsmtFinSF1</w:t>
      </w:r>
      <w:r>
        <w:t>) +18.16(</w:t>
      </w:r>
      <w:r>
        <w:rPr>
          <w:i/>
          <w:iCs/>
        </w:rPr>
        <w:t>TotalBsmtSF</w:t>
      </w:r>
      <w:r>
        <w:t>) +62.49(</w:t>
      </w:r>
      <w:r>
        <w:rPr>
          <w:i/>
          <w:iCs/>
        </w:rPr>
        <w:t>GrLivArea</w:t>
      </w:r>
      <w:r>
        <w:t>) -9644.24(</w:t>
      </w:r>
      <w:r>
        <w:rPr>
          <w:i/>
          <w:iCs/>
        </w:rPr>
        <w:t>BedroomAbvGr</w:t>
      </w:r>
      <w:r>
        <w:t>) -21,889(</w:t>
      </w:r>
      <w:r>
        <w:rPr>
          <w:i/>
          <w:iCs/>
        </w:rPr>
        <w:t>KitchenAbvGr</w:t>
      </w:r>
      <w:r>
        <w:t>) +3,571.02(</w:t>
      </w:r>
      <w:r>
        <w:rPr>
          <w:i/>
          <w:iCs/>
        </w:rPr>
        <w:t>TotRmsAbvGrd</w:t>
      </w:r>
      <w:r>
        <w:t>) +29.82(</w:t>
      </w:r>
      <w:r>
        <w:rPr>
          <w:i/>
          <w:iCs/>
        </w:rPr>
        <w:t>GarageArea</w:t>
      </w:r>
      <w:r>
        <w:t>) +36,983(</w:t>
      </w:r>
      <w:r>
        <w:rPr>
          <w:i/>
          <w:iCs/>
        </w:rPr>
        <w:t>LotConfig</w:t>
      </w:r>
      <w:r>
        <w:t>) +45,763(</w:t>
      </w:r>
      <w:r>
        <w:rPr>
          <w:i/>
          <w:iCs/>
        </w:rPr>
        <w:t>RoofStyle</w:t>
      </w:r>
      <w:r>
        <w:t>) +12,482(</w:t>
      </w:r>
      <w:r>
        <w:rPr>
          <w:i/>
          <w:iCs/>
        </w:rPr>
        <w:t>ExterQual</w:t>
      </w:r>
      <w:r>
        <w:t>) +16,149(</w:t>
      </w:r>
      <w:r>
        <w:rPr>
          <w:i/>
          <w:iCs/>
        </w:rPr>
        <w:t>KitchenQual</w:t>
      </w:r>
      <w:r>
        <w:t>) +47,432(</w:t>
      </w:r>
      <w:r>
        <w:rPr>
          <w:i/>
          <w:iCs/>
        </w:rPr>
        <w:t>Functional</w:t>
      </w:r>
      <w:r>
        <w:t>) +26,058(</w:t>
      </w:r>
      <w:r>
        <w:rPr>
          <w:i/>
          <w:iCs/>
        </w:rPr>
        <w:t>GarageFinish</w:t>
      </w:r>
      <w:r>
        <w:t>) +25,345(</w:t>
      </w:r>
      <w:r>
        <w:rPr>
          <w:i/>
          <w:iCs/>
        </w:rPr>
        <w:t>SaleCondition</w:t>
      </w:r>
      <w:r>
        <w:t>)</w:t>
      </w:r>
    </w:p>
    <w:tbl>
      <w:tblPr>
        <w:tblStyle w:val="8"/>
        <w:tblpPr w:leftFromText="180" w:rightFromText="180" w:vertAnchor="text" w:horzAnchor="page" w:tblpX="994" w:tblpY="284"/>
        <w:tblOverlap w:val="never"/>
        <w:tblW w:w="111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1084"/>
        <w:gridCol w:w="8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rPr>
                <w:b/>
                <w:bCs/>
              </w:rPr>
            </w:pPr>
            <w:r>
              <w:rPr>
                <w:b/>
                <w:bCs/>
              </w:rPr>
              <w:t>Parameter</w:t>
            </w:r>
          </w:p>
        </w:tc>
        <w:tc>
          <w:tcPr>
            <w:tcW w:w="1084" w:type="dxa"/>
          </w:tcPr>
          <w:p>
            <w:pPr>
              <w:ind w:right="-634"/>
              <w:rPr>
                <w:b/>
                <w:bCs/>
              </w:rPr>
            </w:pPr>
            <w:r>
              <w:rPr>
                <w:b/>
                <w:bCs/>
              </w:rPr>
              <w:t>Estimate</w:t>
            </w:r>
          </w:p>
        </w:tc>
        <w:tc>
          <w:tcPr>
            <w:tcW w:w="8329" w:type="dxa"/>
          </w:tcPr>
          <w:p>
            <w:pPr>
              <w:ind w:right="-634"/>
              <w:rPr>
                <w:b/>
                <w:bCs/>
              </w:rPr>
            </w:pPr>
            <w:r>
              <w:rPr>
                <w:b/>
                <w:bC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723" w:type="dxa"/>
          </w:tcPr>
          <w:p>
            <w:pPr>
              <w:ind w:right="-634"/>
            </w:pPr>
            <w:r>
              <w:t>Intercept</w:t>
            </w:r>
          </w:p>
        </w:tc>
        <w:tc>
          <w:tcPr>
            <w:tcW w:w="1084" w:type="dxa"/>
          </w:tcPr>
          <w:p>
            <w:pPr>
              <w:ind w:right="-634"/>
            </w:pPr>
            <w:r>
              <w:t>-855,372</w:t>
            </w:r>
          </w:p>
        </w:tc>
        <w:tc>
          <w:tcPr>
            <w:tcW w:w="8329" w:type="dxa"/>
          </w:tcPr>
          <w:p>
            <w:pPr>
              <w:ind w:right="-634"/>
            </w:pPr>
            <w:r>
              <w:t>A house with no land, square footage or features would be worth -$855,372.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MSSubClass</w:t>
            </w:r>
          </w:p>
        </w:tc>
        <w:tc>
          <w:tcPr>
            <w:tcW w:w="1084" w:type="dxa"/>
          </w:tcPr>
          <w:p>
            <w:pPr>
              <w:ind w:right="-634"/>
            </w:pPr>
            <w:r>
              <w:t>-91.46</w:t>
            </w:r>
          </w:p>
        </w:tc>
        <w:tc>
          <w:tcPr>
            <w:tcW w:w="8329" w:type="dxa"/>
          </w:tcPr>
          <w:p>
            <w:pPr>
              <w:ind w:right="-634"/>
            </w:pPr>
            <w:r>
              <w:t>Every increase in class corresponds to a decrease of $91.46 in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LotArea</w:t>
            </w:r>
          </w:p>
        </w:tc>
        <w:tc>
          <w:tcPr>
            <w:tcW w:w="1084" w:type="dxa"/>
          </w:tcPr>
          <w:p>
            <w:pPr>
              <w:ind w:right="-634"/>
            </w:pPr>
            <w:r>
              <w:t>0.69</w:t>
            </w:r>
          </w:p>
        </w:tc>
        <w:tc>
          <w:tcPr>
            <w:tcW w:w="8329" w:type="dxa"/>
          </w:tcPr>
          <w:p>
            <w:pPr>
              <w:ind w:right="-634"/>
            </w:pPr>
            <w:r>
              <w:t>Every increase in lot area corresponds to an increase of $0.69 in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OverallQual</w:t>
            </w:r>
          </w:p>
        </w:tc>
        <w:tc>
          <w:tcPr>
            <w:tcW w:w="1084" w:type="dxa"/>
          </w:tcPr>
          <w:p>
            <w:pPr>
              <w:ind w:right="-634"/>
            </w:pPr>
            <w:r>
              <w:t>11,169</w:t>
            </w:r>
          </w:p>
        </w:tc>
        <w:tc>
          <w:tcPr>
            <w:tcW w:w="8329" w:type="dxa"/>
          </w:tcPr>
          <w:p>
            <w:pPr>
              <w:ind w:right="-634"/>
            </w:pPr>
            <w:r>
              <w:t>Every increase in overall quality corresponds to an increase of $11,169 in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OverallCond</w:t>
            </w:r>
          </w:p>
        </w:tc>
        <w:tc>
          <w:tcPr>
            <w:tcW w:w="1084" w:type="dxa"/>
          </w:tcPr>
          <w:p>
            <w:pPr>
              <w:ind w:right="-634"/>
            </w:pPr>
            <w:r>
              <w:t>4,568.31</w:t>
            </w:r>
          </w:p>
        </w:tc>
        <w:tc>
          <w:tcPr>
            <w:tcW w:w="8329" w:type="dxa"/>
          </w:tcPr>
          <w:p>
            <w:pPr>
              <w:ind w:right="-634"/>
            </w:pPr>
            <w:r>
              <w:t>Every increase in overall condition corresponds to an increase of $4,568.31 in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YearBuilt</w:t>
            </w:r>
          </w:p>
        </w:tc>
        <w:tc>
          <w:tcPr>
            <w:tcW w:w="1084" w:type="dxa"/>
          </w:tcPr>
          <w:p>
            <w:pPr>
              <w:ind w:right="-634"/>
            </w:pPr>
            <w:r>
              <w:t>261.57</w:t>
            </w:r>
          </w:p>
        </w:tc>
        <w:tc>
          <w:tcPr>
            <w:tcW w:w="8329" w:type="dxa"/>
          </w:tcPr>
          <w:p>
            <w:pPr>
              <w:ind w:right="-634"/>
            </w:pPr>
            <w:r>
              <w:t>Every increase in year built corresponds to an increase of $261.57 in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BsmtFinSF1</w:t>
            </w:r>
          </w:p>
        </w:tc>
        <w:tc>
          <w:tcPr>
            <w:tcW w:w="1084" w:type="dxa"/>
          </w:tcPr>
          <w:p>
            <w:pPr>
              <w:ind w:right="-634"/>
            </w:pPr>
            <w:r>
              <w:t>23.69</w:t>
            </w:r>
          </w:p>
        </w:tc>
        <w:tc>
          <w:tcPr>
            <w:tcW w:w="8329" w:type="dxa"/>
          </w:tcPr>
          <w:p>
            <w:pPr>
              <w:ind w:right="-634"/>
            </w:pPr>
            <w:r>
              <w:t xml:space="preserve">Every increase in finished basement square footage corresponds to an increase of </w:t>
            </w:r>
          </w:p>
          <w:p>
            <w:pPr>
              <w:ind w:right="-634"/>
            </w:pPr>
            <w:r>
              <w:t>$23.69 in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TotalBsmtSF</w:t>
            </w:r>
          </w:p>
        </w:tc>
        <w:tc>
          <w:tcPr>
            <w:tcW w:w="1084" w:type="dxa"/>
          </w:tcPr>
          <w:p>
            <w:pPr>
              <w:ind w:right="-634"/>
            </w:pPr>
            <w:r>
              <w:t>18.16</w:t>
            </w:r>
          </w:p>
        </w:tc>
        <w:tc>
          <w:tcPr>
            <w:tcW w:w="8329" w:type="dxa"/>
          </w:tcPr>
          <w:p>
            <w:pPr>
              <w:ind w:right="-634"/>
            </w:pPr>
            <w:r>
              <w:t xml:space="preserve">Every increase in basement square footage corresponds to an increase of </w:t>
            </w:r>
          </w:p>
          <w:p>
            <w:pPr>
              <w:ind w:right="-634"/>
            </w:pPr>
            <w:r>
              <w:t>$18.16 in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GrLivArea</w:t>
            </w:r>
          </w:p>
        </w:tc>
        <w:tc>
          <w:tcPr>
            <w:tcW w:w="1084" w:type="dxa"/>
          </w:tcPr>
          <w:p>
            <w:pPr>
              <w:ind w:right="-634"/>
            </w:pPr>
            <w:r>
              <w:t>62.49</w:t>
            </w:r>
          </w:p>
        </w:tc>
        <w:tc>
          <w:tcPr>
            <w:tcW w:w="8329" w:type="dxa"/>
          </w:tcPr>
          <w:p>
            <w:pPr>
              <w:ind w:right="-634"/>
            </w:pPr>
            <w:r>
              <w:t xml:space="preserve">Every increase in living area square footage corresponds to an increase of </w:t>
            </w:r>
          </w:p>
          <w:p>
            <w:pPr>
              <w:ind w:right="-634"/>
            </w:pPr>
            <w:r>
              <w:t>$62.49 in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BedroomAbvGr</w:t>
            </w:r>
          </w:p>
        </w:tc>
        <w:tc>
          <w:tcPr>
            <w:tcW w:w="1084" w:type="dxa"/>
          </w:tcPr>
          <w:p>
            <w:pPr>
              <w:ind w:right="-634"/>
            </w:pPr>
            <w:r>
              <w:t>-9,644.24</w:t>
            </w:r>
          </w:p>
        </w:tc>
        <w:tc>
          <w:tcPr>
            <w:tcW w:w="8329" w:type="dxa"/>
          </w:tcPr>
          <w:p>
            <w:pPr>
              <w:ind w:right="-634"/>
            </w:pPr>
            <w:r>
              <w:t>Every increase in bedrooms corresponds to an decrease of $9,644.24 in value. This offsets the total rooms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KitchenAbvGr</w:t>
            </w:r>
          </w:p>
        </w:tc>
        <w:tc>
          <w:tcPr>
            <w:tcW w:w="1084" w:type="dxa"/>
          </w:tcPr>
          <w:p>
            <w:pPr>
              <w:ind w:right="-634"/>
            </w:pPr>
            <w:r>
              <w:t>-21,889</w:t>
            </w:r>
          </w:p>
        </w:tc>
        <w:tc>
          <w:tcPr>
            <w:tcW w:w="8329" w:type="dxa"/>
          </w:tcPr>
          <w:p>
            <w:pPr>
              <w:ind w:right="-634"/>
            </w:pPr>
            <w:r>
              <w:t xml:space="preserve">Every increase in bedrooms corresponds to an decrease of $21,889 in value. This </w:t>
            </w:r>
          </w:p>
          <w:p>
            <w:pPr>
              <w:ind w:right="-634"/>
            </w:pPr>
            <w:r>
              <w:t>offsets the total rooms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TotRmsAbvGr</w:t>
            </w:r>
          </w:p>
        </w:tc>
        <w:tc>
          <w:tcPr>
            <w:tcW w:w="1084" w:type="dxa"/>
          </w:tcPr>
          <w:p>
            <w:pPr>
              <w:ind w:right="-634"/>
            </w:pPr>
            <w:r>
              <w:t>3,571.02</w:t>
            </w:r>
          </w:p>
        </w:tc>
        <w:tc>
          <w:tcPr>
            <w:tcW w:w="8329" w:type="dxa"/>
          </w:tcPr>
          <w:p>
            <w:pPr>
              <w:ind w:right="-634"/>
            </w:pPr>
            <w:r>
              <w:t>Every increase in total rooms corresponds to an increase of $3,571.02 in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GarageArea</w:t>
            </w:r>
          </w:p>
        </w:tc>
        <w:tc>
          <w:tcPr>
            <w:tcW w:w="1084" w:type="dxa"/>
          </w:tcPr>
          <w:p>
            <w:pPr>
              <w:ind w:right="-634"/>
            </w:pPr>
            <w:r>
              <w:t>29.82</w:t>
            </w:r>
          </w:p>
        </w:tc>
        <w:tc>
          <w:tcPr>
            <w:tcW w:w="8329" w:type="dxa"/>
          </w:tcPr>
          <w:p>
            <w:pPr>
              <w:ind w:right="-634"/>
            </w:pPr>
            <w:r>
              <w:t xml:space="preserve">Every increase in garage square footage corresponds to an increase of $29.82 in </w:t>
            </w:r>
          </w:p>
          <w:p>
            <w:pPr>
              <w:ind w:right="-634"/>
            </w:pPr>
            <w: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LotConfig</w:t>
            </w:r>
          </w:p>
        </w:tc>
        <w:tc>
          <w:tcPr>
            <w:tcW w:w="1084" w:type="dxa"/>
          </w:tcPr>
          <w:p>
            <w:pPr>
              <w:ind w:right="-634"/>
            </w:pPr>
            <w:r>
              <w:t>36,893</w:t>
            </w:r>
          </w:p>
        </w:tc>
        <w:tc>
          <w:tcPr>
            <w:tcW w:w="8329" w:type="dxa"/>
          </w:tcPr>
          <w:p>
            <w:pPr>
              <w:ind w:right="-634"/>
            </w:pPr>
            <w:r>
              <w:t xml:space="preserve">Every increase in lot configuration corresponds to an increase of $36,893 in </w:t>
            </w:r>
          </w:p>
          <w:p>
            <w:pPr>
              <w:ind w:right="-634"/>
            </w:pPr>
            <w:r>
              <w:t>value. The levels are based off our custom scale of sale price medians.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RoofStyle</w:t>
            </w:r>
          </w:p>
        </w:tc>
        <w:tc>
          <w:tcPr>
            <w:tcW w:w="1084" w:type="dxa"/>
          </w:tcPr>
          <w:p>
            <w:pPr>
              <w:ind w:right="-634"/>
            </w:pPr>
            <w:r>
              <w:t>45,763</w:t>
            </w:r>
          </w:p>
        </w:tc>
        <w:tc>
          <w:tcPr>
            <w:tcW w:w="8329" w:type="dxa"/>
          </w:tcPr>
          <w:p>
            <w:pPr>
              <w:ind w:right="-634"/>
            </w:pPr>
            <w:r>
              <w:t xml:space="preserve">Every increase in roof style corresponds to an increase of $45,763 in value. The </w:t>
            </w:r>
          </w:p>
          <w:p>
            <w:pPr>
              <w:ind w:right="-634"/>
            </w:pPr>
            <w:r>
              <w:t>levels are based off our custom scale of sale price medians.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ExterQual</w:t>
            </w:r>
          </w:p>
        </w:tc>
        <w:tc>
          <w:tcPr>
            <w:tcW w:w="1084" w:type="dxa"/>
          </w:tcPr>
          <w:p>
            <w:pPr>
              <w:ind w:right="-634"/>
            </w:pPr>
            <w:r>
              <w:t>12,482</w:t>
            </w:r>
          </w:p>
        </w:tc>
        <w:tc>
          <w:tcPr>
            <w:tcW w:w="8329" w:type="dxa"/>
          </w:tcPr>
          <w:p>
            <w:pPr>
              <w:ind w:right="-634"/>
            </w:pPr>
            <w:r>
              <w:t xml:space="preserve">Every increase in exterior quality corresponds to an increase of $12,482 in value. </w:t>
            </w:r>
          </w:p>
          <w:p>
            <w:pPr>
              <w:ind w:right="-634"/>
            </w:pPr>
            <w:r>
              <w:t>The levels are based off our custom scale of sale price medians.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KitchenQual</w:t>
            </w:r>
          </w:p>
        </w:tc>
        <w:tc>
          <w:tcPr>
            <w:tcW w:w="1084" w:type="dxa"/>
          </w:tcPr>
          <w:p>
            <w:pPr>
              <w:ind w:right="-634"/>
            </w:pPr>
            <w:r>
              <w:t>16,149</w:t>
            </w:r>
          </w:p>
        </w:tc>
        <w:tc>
          <w:tcPr>
            <w:tcW w:w="8329" w:type="dxa"/>
          </w:tcPr>
          <w:p>
            <w:pPr>
              <w:ind w:right="-634"/>
            </w:pPr>
            <w:r>
              <w:t>Every increase in kitchen quality corresponds to an increase of $16,149 in value. The levels are based off our custom scale of sale price medians.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Functional</w:t>
            </w:r>
          </w:p>
        </w:tc>
        <w:tc>
          <w:tcPr>
            <w:tcW w:w="1084" w:type="dxa"/>
          </w:tcPr>
          <w:p>
            <w:pPr>
              <w:ind w:right="-634"/>
            </w:pPr>
            <w:r>
              <w:t>47,432</w:t>
            </w:r>
          </w:p>
        </w:tc>
        <w:tc>
          <w:tcPr>
            <w:tcW w:w="8329" w:type="dxa"/>
          </w:tcPr>
          <w:p>
            <w:pPr>
              <w:ind w:right="-634"/>
            </w:pPr>
            <w:r>
              <w:t xml:space="preserve">Every increase in functionality corresponds to an increase of $47,432 in value. The </w:t>
            </w:r>
          </w:p>
          <w:p>
            <w:pPr>
              <w:ind w:right="-634"/>
            </w:pPr>
            <w:r>
              <w:t>levels are based off our custom scale of sale price medians.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GarageFinish</w:t>
            </w:r>
          </w:p>
        </w:tc>
        <w:tc>
          <w:tcPr>
            <w:tcW w:w="1084" w:type="dxa"/>
          </w:tcPr>
          <w:p>
            <w:pPr>
              <w:ind w:right="-634"/>
            </w:pPr>
            <w:r>
              <w:t>26,058</w:t>
            </w:r>
          </w:p>
        </w:tc>
        <w:tc>
          <w:tcPr>
            <w:tcW w:w="8329" w:type="dxa"/>
          </w:tcPr>
          <w:p>
            <w:pPr>
              <w:ind w:right="-634"/>
            </w:pPr>
            <w:r>
              <w:t>Every increase in garage interior finish to an increase of $26,058 in value. The levels</w:t>
            </w:r>
          </w:p>
          <w:p>
            <w:pPr>
              <w:ind w:right="-634"/>
            </w:pPr>
            <w:r>
              <w:t>are based off our custom scale of sale price medians.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723" w:type="dxa"/>
          </w:tcPr>
          <w:p>
            <w:pPr>
              <w:ind w:right="-634"/>
            </w:pPr>
            <w:r>
              <w:t>SaleCondition</w:t>
            </w:r>
          </w:p>
        </w:tc>
        <w:tc>
          <w:tcPr>
            <w:tcW w:w="1084" w:type="dxa"/>
          </w:tcPr>
          <w:p>
            <w:pPr>
              <w:ind w:right="-634"/>
            </w:pPr>
            <w:r>
              <w:t>25,345</w:t>
            </w:r>
          </w:p>
        </w:tc>
        <w:tc>
          <w:tcPr>
            <w:tcW w:w="8329" w:type="dxa"/>
          </w:tcPr>
          <w:p>
            <w:pPr>
              <w:ind w:right="-634"/>
            </w:pPr>
            <w:r>
              <w:t xml:space="preserve">Every increase in sale condition corresponds to an increase of $25,345 in value. The </w:t>
            </w:r>
          </w:p>
          <w:p>
            <w:pPr>
              <w:ind w:right="-634"/>
            </w:pPr>
            <w:r>
              <w:t>levels are based off our custom scale of sale price medians.</w:t>
            </w:r>
          </w:p>
        </w:tc>
      </w:tr>
    </w:tbl>
    <w:p>
      <w:pPr>
        <w:ind w:right="-634"/>
      </w:pPr>
    </w:p>
    <w:p>
      <w:r>
        <w:tab/>
      </w:r>
      <w:r>
        <w:tab/>
      </w:r>
      <w:r>
        <w:tab/>
      </w:r>
      <w:bookmarkStart w:id="0" w:name="_GoBack"/>
      <w:bookmarkEnd w:id="0"/>
    </w:p>
    <w:tbl>
      <w:tblPr>
        <w:tblStyle w:val="8"/>
        <w:tblW w:w="83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0"/>
        <w:gridCol w:w="1890"/>
        <w:gridCol w:w="1525"/>
        <w:gridCol w:w="2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0" w:type="dxa"/>
          </w:tcPr>
          <w:p>
            <w:pPr>
              <w:pStyle w:val="4"/>
              <w:spacing w:before="192" w:beforeAutospacing="0" w:after="192" w:afterAutospacing="0"/>
              <w:rPr>
                <w:rFonts w:ascii="Helvetica Neue" w:hAnsi="Helvetica Neue"/>
                <w:b/>
                <w:color w:val="555555"/>
                <w:sz w:val="22"/>
              </w:rPr>
            </w:pPr>
            <w:r>
              <w:rPr>
                <w:rFonts w:ascii="Helvetica Neue" w:hAnsi="Helvetica Neue"/>
                <w:b/>
                <w:color w:val="555555"/>
                <w:sz w:val="22"/>
              </w:rPr>
              <w:t>Predictive Models</w:t>
            </w:r>
          </w:p>
        </w:tc>
        <w:tc>
          <w:tcPr>
            <w:tcW w:w="1890" w:type="dxa"/>
          </w:tcPr>
          <w:p>
            <w:pPr>
              <w:pStyle w:val="4"/>
              <w:spacing w:before="192" w:beforeAutospacing="0" w:after="192" w:afterAutospacing="0"/>
              <w:rPr>
                <w:rFonts w:ascii="Helvetica Neue" w:hAnsi="Helvetica Neue"/>
                <w:b/>
                <w:color w:val="555555"/>
                <w:sz w:val="22"/>
              </w:rPr>
            </w:pPr>
            <w:r>
              <w:rPr>
                <w:rFonts w:ascii="Helvetica Neue" w:hAnsi="Helvetica Neue"/>
                <w:b/>
                <w:color w:val="555555"/>
                <w:sz w:val="22"/>
              </w:rPr>
              <w:t>Adjusted R2</w:t>
            </w:r>
          </w:p>
        </w:tc>
        <w:tc>
          <w:tcPr>
            <w:tcW w:w="1525" w:type="dxa"/>
          </w:tcPr>
          <w:p>
            <w:pPr>
              <w:pStyle w:val="4"/>
              <w:spacing w:before="192" w:beforeAutospacing="0" w:after="192" w:afterAutospacing="0"/>
              <w:rPr>
                <w:rFonts w:ascii="Helvetica Neue" w:hAnsi="Helvetica Neue"/>
                <w:b/>
                <w:color w:val="555555"/>
                <w:sz w:val="22"/>
              </w:rPr>
            </w:pPr>
            <w:r>
              <w:rPr>
                <w:rFonts w:ascii="Helvetica Neue" w:hAnsi="Helvetica Neue"/>
                <w:b/>
                <w:color w:val="555555"/>
                <w:sz w:val="22"/>
              </w:rPr>
              <w:t>CV PRESS</w:t>
            </w:r>
          </w:p>
        </w:tc>
        <w:tc>
          <w:tcPr>
            <w:tcW w:w="2255" w:type="dxa"/>
          </w:tcPr>
          <w:p>
            <w:pPr>
              <w:pStyle w:val="4"/>
              <w:spacing w:before="192" w:beforeAutospacing="0" w:after="192" w:afterAutospacing="0"/>
              <w:rPr>
                <w:rFonts w:ascii="Helvetica Neue" w:hAnsi="Helvetica Neue"/>
                <w:b/>
                <w:color w:val="555555"/>
                <w:sz w:val="22"/>
              </w:rPr>
            </w:pPr>
            <w:r>
              <w:rPr>
                <w:rFonts w:ascii="Helvetica Neue" w:hAnsi="Helvetica Neue"/>
                <w:b/>
                <w:color w:val="555555"/>
                <w:sz w:val="22"/>
              </w:rPr>
              <w:t xml:space="preserve">Kaggle Score </w:t>
            </w:r>
            <w:r>
              <w:rPr>
                <w:rFonts w:ascii="Helvetica Neue" w:hAnsi="Helvetica Neue"/>
                <w:bCs/>
                <w:color w:val="555555"/>
                <w:sz w:val="22"/>
              </w:rPr>
              <w:t>(Fig 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0" w:type="dxa"/>
          </w:tcPr>
          <w:p>
            <w:pPr>
              <w:pStyle w:val="4"/>
              <w:spacing w:before="192" w:beforeAutospacing="0" w:after="192" w:afterAutospacing="0"/>
              <w:rPr>
                <w:rFonts w:ascii="Helvetica Neue" w:hAnsi="Helvetica Neue"/>
                <w:color w:val="555555"/>
                <w:sz w:val="22"/>
              </w:rPr>
            </w:pPr>
            <w:r>
              <w:rPr>
                <w:rFonts w:ascii="Helvetica Neue" w:hAnsi="Helvetica Neue"/>
                <w:color w:val="555555"/>
                <w:sz w:val="22"/>
              </w:rPr>
              <w:t>Forward (Table 2.1)</w:t>
            </w:r>
          </w:p>
        </w:tc>
        <w:tc>
          <w:tcPr>
            <w:tcW w:w="1890" w:type="dxa"/>
          </w:tcPr>
          <w:p>
            <w:pPr>
              <w:pStyle w:val="4"/>
              <w:spacing w:before="192" w:beforeAutospacing="0" w:after="192" w:afterAutospacing="0"/>
              <w:rPr>
                <w:rFonts w:ascii="Helvetica Neue" w:hAnsi="Helvetica Neue"/>
                <w:color w:val="555555"/>
                <w:sz w:val="22"/>
              </w:rPr>
            </w:pPr>
            <w:r>
              <w:rPr>
                <w:rFonts w:ascii="Helvetica Neue" w:hAnsi="Helvetica Neue"/>
                <w:color w:val="555555"/>
                <w:sz w:val="22"/>
              </w:rPr>
              <w:t>0.86</w:t>
            </w:r>
          </w:p>
        </w:tc>
        <w:tc>
          <w:tcPr>
            <w:tcW w:w="1525" w:type="dxa"/>
          </w:tcPr>
          <w:p>
            <w:pPr>
              <w:pStyle w:val="4"/>
              <w:spacing w:before="192" w:beforeAutospacing="0" w:after="192" w:afterAutospacing="0"/>
              <w:rPr>
                <w:rFonts w:ascii="Helvetica Neue" w:hAnsi="Helvetica Neue"/>
                <w:color w:val="555555"/>
                <w:sz w:val="22"/>
              </w:rPr>
            </w:pPr>
            <w:r>
              <w:t>1.333179E12</w:t>
            </w:r>
          </w:p>
        </w:tc>
        <w:tc>
          <w:tcPr>
            <w:tcW w:w="2255" w:type="dxa"/>
          </w:tcPr>
          <w:p>
            <w:pPr>
              <w:pStyle w:val="4"/>
              <w:spacing w:before="192" w:beforeAutospacing="0" w:after="192" w:afterAutospacing="0"/>
              <w:rPr>
                <w:rFonts w:ascii="Helvetica Neue" w:hAnsi="Helvetica Neue"/>
                <w:color w:val="555555"/>
                <w:sz w:val="22"/>
              </w:rPr>
            </w:pPr>
            <w:r>
              <w:rPr>
                <w:rFonts w:ascii="Helvetica Neue" w:hAnsi="Helvetica Neue"/>
                <w:color w:val="555555"/>
                <w:sz w:val="22"/>
              </w:rPr>
              <w:t>0.60337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0" w:type="dxa"/>
          </w:tcPr>
          <w:p>
            <w:pPr>
              <w:pStyle w:val="4"/>
              <w:spacing w:before="192" w:beforeAutospacing="0" w:after="192" w:afterAutospacing="0"/>
              <w:rPr>
                <w:rFonts w:ascii="Helvetica Neue" w:hAnsi="Helvetica Neue"/>
                <w:color w:val="555555"/>
                <w:sz w:val="22"/>
              </w:rPr>
            </w:pPr>
            <w:r>
              <w:rPr>
                <w:rFonts w:ascii="Helvetica Neue" w:hAnsi="Helvetica Neue"/>
                <w:color w:val="555555"/>
                <w:sz w:val="22"/>
              </w:rPr>
              <w:t>Backward (Table 2.2)</w:t>
            </w:r>
          </w:p>
        </w:tc>
        <w:tc>
          <w:tcPr>
            <w:tcW w:w="1890" w:type="dxa"/>
          </w:tcPr>
          <w:p>
            <w:pPr>
              <w:pStyle w:val="4"/>
              <w:spacing w:before="192" w:beforeAutospacing="0" w:after="192" w:afterAutospacing="0"/>
              <w:rPr>
                <w:rFonts w:ascii="Helvetica Neue" w:hAnsi="Helvetica Neue"/>
                <w:color w:val="555555"/>
                <w:sz w:val="22"/>
              </w:rPr>
            </w:pPr>
            <w:r>
              <w:rPr>
                <w:rFonts w:ascii="Helvetica Neue" w:hAnsi="Helvetica Neue"/>
                <w:color w:val="555555"/>
                <w:sz w:val="22"/>
              </w:rPr>
              <w:t>0.86</w:t>
            </w:r>
          </w:p>
        </w:tc>
        <w:tc>
          <w:tcPr>
            <w:tcW w:w="1525" w:type="dxa"/>
          </w:tcPr>
          <w:p>
            <w:pPr>
              <w:pStyle w:val="4"/>
              <w:spacing w:before="192" w:beforeAutospacing="0" w:after="192" w:afterAutospacing="0"/>
              <w:rPr>
                <w:rFonts w:ascii="Helvetica Neue" w:hAnsi="Helvetica Neue"/>
                <w:color w:val="555555"/>
                <w:sz w:val="22"/>
              </w:rPr>
            </w:pPr>
            <w:r>
              <w:t>1.354469E12</w:t>
            </w:r>
          </w:p>
        </w:tc>
        <w:tc>
          <w:tcPr>
            <w:tcW w:w="2255" w:type="dxa"/>
          </w:tcPr>
          <w:p>
            <w:pPr>
              <w:pStyle w:val="4"/>
              <w:spacing w:before="192" w:beforeAutospacing="0" w:after="192" w:afterAutospacing="0"/>
              <w:rPr>
                <w:rFonts w:ascii="Helvetica Neue" w:hAnsi="Helvetica Neue"/>
                <w:color w:val="555555"/>
                <w:sz w:val="22"/>
              </w:rPr>
            </w:pPr>
            <w:r>
              <w:rPr>
                <w:rFonts w:ascii="Helvetica Neue" w:hAnsi="Helvetica Neue"/>
                <w:color w:val="555555"/>
                <w:sz w:val="22"/>
              </w:rPr>
              <w:t>0.60048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0" w:type="dxa"/>
          </w:tcPr>
          <w:p>
            <w:pPr>
              <w:pStyle w:val="4"/>
              <w:spacing w:before="192" w:beforeAutospacing="0" w:after="192" w:afterAutospacing="0"/>
              <w:rPr>
                <w:rFonts w:ascii="Helvetica Neue" w:hAnsi="Helvetica Neue"/>
                <w:color w:val="555555"/>
                <w:sz w:val="22"/>
              </w:rPr>
            </w:pPr>
            <w:r>
              <w:rPr>
                <w:rFonts w:ascii="Helvetica Neue" w:hAnsi="Helvetica Neue"/>
                <w:color w:val="555555"/>
                <w:sz w:val="22"/>
              </w:rPr>
              <w:t>Stepwise (Table 2.3)</w:t>
            </w:r>
          </w:p>
        </w:tc>
        <w:tc>
          <w:tcPr>
            <w:tcW w:w="1890" w:type="dxa"/>
          </w:tcPr>
          <w:p>
            <w:pPr>
              <w:pStyle w:val="4"/>
              <w:spacing w:before="192" w:beforeAutospacing="0" w:after="192" w:afterAutospacing="0"/>
              <w:rPr>
                <w:rFonts w:ascii="Helvetica Neue" w:hAnsi="Helvetica Neue"/>
                <w:color w:val="555555"/>
                <w:sz w:val="22"/>
              </w:rPr>
            </w:pPr>
            <w:r>
              <w:rPr>
                <w:rFonts w:ascii="Helvetica Neue" w:hAnsi="Helvetica Neue"/>
                <w:color w:val="555555"/>
                <w:sz w:val="22"/>
              </w:rPr>
              <w:t>0.86</w:t>
            </w:r>
          </w:p>
        </w:tc>
        <w:tc>
          <w:tcPr>
            <w:tcW w:w="1525" w:type="dxa"/>
          </w:tcPr>
          <w:p>
            <w:pPr>
              <w:pStyle w:val="4"/>
              <w:spacing w:before="192" w:beforeAutospacing="0" w:after="192" w:afterAutospacing="0"/>
              <w:rPr>
                <w:rFonts w:ascii="Helvetica Neue" w:hAnsi="Helvetica Neue"/>
                <w:color w:val="555555"/>
                <w:sz w:val="22"/>
              </w:rPr>
            </w:pPr>
            <w:r>
              <w:t>1.353647E12</w:t>
            </w:r>
          </w:p>
        </w:tc>
        <w:tc>
          <w:tcPr>
            <w:tcW w:w="2255" w:type="dxa"/>
          </w:tcPr>
          <w:p>
            <w:pPr>
              <w:pStyle w:val="4"/>
              <w:spacing w:before="192" w:beforeAutospacing="0" w:after="192" w:afterAutospacing="0"/>
              <w:rPr>
                <w:rFonts w:ascii="Helvetica Neue" w:hAnsi="Helvetica Neue"/>
                <w:color w:val="555555"/>
                <w:sz w:val="22"/>
              </w:rPr>
            </w:pPr>
            <w:r>
              <w:rPr>
                <w:rFonts w:ascii="Helvetica Neue" w:hAnsi="Helvetica Neue"/>
                <w:color w:val="555555"/>
                <w:sz w:val="22"/>
              </w:rPr>
              <w:t>0.60238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0" w:type="dxa"/>
          </w:tcPr>
          <w:p>
            <w:pPr>
              <w:pStyle w:val="4"/>
              <w:spacing w:before="192" w:beforeAutospacing="0" w:after="192" w:afterAutospacing="0"/>
              <w:rPr>
                <w:rFonts w:ascii="Helvetica Neue" w:hAnsi="Helvetica Neue"/>
                <w:color w:val="555555"/>
                <w:sz w:val="22"/>
              </w:rPr>
            </w:pPr>
            <w:r>
              <w:rPr>
                <w:rFonts w:ascii="Helvetica Neue" w:hAnsi="Helvetica Neue"/>
                <w:color w:val="555555"/>
                <w:sz w:val="22"/>
              </w:rPr>
              <w:t>CUSTOM (Table 2.4)</w:t>
            </w:r>
          </w:p>
        </w:tc>
        <w:tc>
          <w:tcPr>
            <w:tcW w:w="1890" w:type="dxa"/>
          </w:tcPr>
          <w:p>
            <w:pPr>
              <w:pStyle w:val="4"/>
              <w:spacing w:before="192" w:beforeAutospacing="0" w:after="192" w:afterAutospacing="0"/>
              <w:rPr>
                <w:rFonts w:ascii="Helvetica Neue" w:hAnsi="Helvetica Neue"/>
                <w:color w:val="555555"/>
                <w:sz w:val="22"/>
              </w:rPr>
            </w:pPr>
            <w:r>
              <w:rPr>
                <w:rFonts w:ascii="Helvetica Neue" w:hAnsi="Helvetica Neue"/>
                <w:color w:val="555555"/>
                <w:sz w:val="22"/>
              </w:rPr>
              <w:t>0.88</w:t>
            </w:r>
          </w:p>
        </w:tc>
        <w:tc>
          <w:tcPr>
            <w:tcW w:w="1525" w:type="dxa"/>
          </w:tcPr>
          <w:p>
            <w:pPr>
              <w:pStyle w:val="4"/>
              <w:spacing w:before="192" w:beforeAutospacing="0" w:after="192" w:afterAutospacing="0"/>
              <w:rPr>
                <w:rFonts w:ascii="Helvetica Neue" w:hAnsi="Helvetica Neue"/>
                <w:color w:val="555555"/>
                <w:sz w:val="22"/>
              </w:rPr>
            </w:pPr>
            <w:r>
              <w:rPr>
                <w:rFonts w:ascii="Helvetica Neue" w:hAnsi="Helvetica Neue"/>
                <w:color w:val="555555"/>
                <w:sz w:val="22"/>
              </w:rPr>
              <w:t>8.21749E11</w:t>
            </w:r>
          </w:p>
        </w:tc>
        <w:tc>
          <w:tcPr>
            <w:tcW w:w="2255" w:type="dxa"/>
          </w:tcPr>
          <w:p>
            <w:pPr>
              <w:pStyle w:val="4"/>
              <w:spacing w:before="192" w:beforeAutospacing="0" w:after="192" w:afterAutospacing="0"/>
              <w:rPr>
                <w:rFonts w:ascii="Helvetica Neue" w:hAnsi="Helvetica Neue"/>
                <w:color w:val="555555"/>
                <w:sz w:val="22"/>
              </w:rPr>
            </w:pPr>
            <w:r>
              <w:rPr>
                <w:rFonts w:ascii="Helvetica Neue" w:hAnsi="Helvetica Neue"/>
                <w:color w:val="555555"/>
                <w:sz w:val="22"/>
              </w:rPr>
              <w:t>0.21619</w:t>
            </w:r>
          </w:p>
        </w:tc>
      </w:tr>
    </w:tbl>
    <w:p>
      <w:r>
        <w:t xml:space="preserve"> </w:t>
      </w:r>
    </w:p>
    <w:p>
      <w:pPr>
        <w:rPr>
          <w:b/>
          <w:bCs/>
          <w:u w:val="single"/>
        </w:rPr>
      </w:pPr>
      <w:r>
        <w:rPr>
          <w:b/>
          <w:bCs/>
          <w:u w:val="single"/>
        </w:rPr>
        <w:t>Conclusion</w:t>
      </w:r>
    </w:p>
    <w:p>
      <w:pPr>
        <w:rPr>
          <w:b/>
          <w:bCs/>
          <w:u w:val="single"/>
        </w:rPr>
      </w:pPr>
    </w:p>
    <w:p>
      <w:r>
        <w:t>We ultimately chose the custom model because it had the highest adjusted r-squared and the lowest CV PRESS and Kaggle score. We believe this improvement is due to the addition of relevant categorical variables. Utilizing this model will be helpful for our client, as it can explain 88% of the variance in sale price across all neighborhoods in Ames, Iowa.</w:t>
      </w:r>
    </w:p>
    <w:p>
      <w:pPr>
        <w:rPr>
          <w:b/>
          <w:bCs/>
          <w:u w:val="single"/>
        </w:rPr>
      </w:pPr>
      <w:r>
        <w:rPr>
          <w:b/>
          <w:bCs/>
          <w:u w:val="single"/>
        </w:rPr>
        <w:br w:type="page"/>
      </w:r>
    </w:p>
    <w:p>
      <w:pPr>
        <w:spacing w:after="160" w:line="259" w:lineRule="auto"/>
      </w:pPr>
      <w:r>
        <w:rPr>
          <w:b/>
          <w:bCs/>
          <w:u w:val="single"/>
        </w:rPr>
        <w:t>Appendix</w:t>
      </w:r>
      <w:r>
        <w:t xml:space="preserve"> </w:t>
      </w:r>
    </w:p>
    <w:p>
      <w:r>
        <w:rPr>
          <w:b/>
          <w:bCs/>
        </w:rPr>
        <w:t>Code to plot Original data</w:t>
      </w:r>
    </w:p>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b/>
          <w:bCs/>
          <w:color w:val="000080"/>
          <w:shd w:val="clear" w:color="auto" w:fill="FFFFFF"/>
        </w:rPr>
        <w:t>PROC</w:t>
      </w:r>
      <w:r>
        <w:rPr>
          <w:rFonts w:hAnsi="Courier New" w:cs="Courier New"/>
          <w:color w:val="000000"/>
          <w:shd w:val="clear" w:color="auto" w:fill="FFFFFF"/>
        </w:rPr>
        <w:t xml:space="preserve"> </w:t>
      </w:r>
      <w:r>
        <w:rPr>
          <w:rFonts w:hAnsi="Courier New" w:cs="Courier New"/>
          <w:b/>
          <w:bCs/>
          <w:color w:val="000080"/>
          <w:shd w:val="clear" w:color="auto" w:fill="FFFFFF"/>
        </w:rPr>
        <w:t>IMPORT</w:t>
      </w:r>
      <w:r>
        <w:rPr>
          <w:rFonts w:hAnsi="Courier New" w:cs="Courier New"/>
          <w:color w:val="000000"/>
          <w:shd w:val="clear" w:color="auto" w:fill="FFFFFF"/>
        </w:rPr>
        <w:t xml:space="preserve"> </w:t>
      </w:r>
      <w:r>
        <w:rPr>
          <w:rFonts w:hAnsi="Courier New" w:cs="Courier New"/>
          <w:color w:val="0000FF"/>
          <w:shd w:val="clear" w:color="auto" w:fill="FFFFFF"/>
        </w:rPr>
        <w:t>OUT</w:t>
      </w:r>
      <w:r>
        <w:rPr>
          <w:rFonts w:hAnsi="Courier New" w:cs="Courier New"/>
          <w:color w:val="000000"/>
          <w:shd w:val="clear" w:color="auto" w:fill="FFFFFF"/>
        </w:rPr>
        <w:t>= train</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0000"/>
          <w:shd w:val="clear" w:color="auto" w:fill="FFFFFF"/>
        </w:rPr>
        <w:t xml:space="preserve">            </w:t>
      </w:r>
      <w:r>
        <w:rPr>
          <w:rFonts w:hAnsi="Courier New" w:cs="Courier New"/>
          <w:color w:val="0000FF"/>
          <w:shd w:val="clear" w:color="auto" w:fill="FFFFFF"/>
        </w:rPr>
        <w:t>DATAFILE</w:t>
      </w:r>
      <w:r>
        <w:rPr>
          <w:rFonts w:hAnsi="Courier New" w:cs="Courier New"/>
          <w:color w:val="000000"/>
          <w:shd w:val="clear" w:color="auto" w:fill="FFFFFF"/>
        </w:rPr>
        <w:t xml:space="preserve">= </w:t>
      </w:r>
      <w:r>
        <w:rPr>
          <w:rFonts w:hAnsi="Courier New" w:cs="Courier New"/>
          <w:color w:val="800080"/>
          <w:shd w:val="clear" w:color="auto" w:fill="FFFFFF"/>
        </w:rPr>
        <w:t>"C:\Paritosh\SMU\6371 Statistical Foundation for Data Science\Project\train.csv"</w:t>
      </w:r>
      <w:r>
        <w:rPr>
          <w:rFonts w:hAnsi="Courier New" w:cs="Courier New"/>
          <w:color w:val="000000"/>
          <w:shd w:val="clear" w:color="auto" w:fill="FFFFFF"/>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0000"/>
          <w:shd w:val="clear" w:color="auto" w:fill="FFFFFF"/>
        </w:rPr>
        <w:t xml:space="preserve">            </w:t>
      </w:r>
      <w:r>
        <w:rPr>
          <w:rFonts w:hAnsi="Courier New" w:cs="Courier New"/>
          <w:color w:val="0000FF"/>
          <w:shd w:val="clear" w:color="auto" w:fill="FFFFFF"/>
        </w:rPr>
        <w:t>DBMS</w:t>
      </w:r>
      <w:r>
        <w:rPr>
          <w:rFonts w:hAnsi="Courier New" w:cs="Courier New"/>
          <w:color w:val="000000"/>
          <w:shd w:val="clear" w:color="auto" w:fill="FFFFFF"/>
        </w:rPr>
        <w:t>=CSV REPLACE;</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0000"/>
          <w:shd w:val="clear" w:color="auto" w:fill="FFFFFF"/>
        </w:rPr>
        <w:t xml:space="preserve">     </w:t>
      </w:r>
      <w:r>
        <w:rPr>
          <w:rFonts w:hAnsi="Courier New" w:cs="Courier New"/>
          <w:color w:val="0000FF"/>
          <w:shd w:val="clear" w:color="auto" w:fill="FFFFFF"/>
        </w:rPr>
        <w:t>GETNAMES</w:t>
      </w:r>
      <w:r>
        <w:rPr>
          <w:rFonts w:hAnsi="Courier New" w:cs="Courier New"/>
          <w:color w:val="000000"/>
          <w:shd w:val="clear" w:color="auto" w:fill="FFFFFF"/>
        </w:rPr>
        <w:t>=YES;</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0000"/>
          <w:shd w:val="clear" w:color="auto" w:fill="FFFFFF"/>
        </w:rPr>
        <w:t xml:space="preserve">     </w:t>
      </w:r>
      <w:r>
        <w:rPr>
          <w:rFonts w:hAnsi="Courier New" w:cs="Courier New"/>
          <w:color w:val="0000FF"/>
          <w:shd w:val="clear" w:color="auto" w:fill="FFFFFF"/>
        </w:rPr>
        <w:t>DATAROW</w:t>
      </w:r>
      <w:r>
        <w:rPr>
          <w:rFonts w:hAnsi="Courier New" w:cs="Courier New"/>
          <w:color w:val="000000"/>
          <w:shd w:val="clear" w:color="auto" w:fill="FFFFFF"/>
        </w:rPr>
        <w:t>=</w:t>
      </w:r>
      <w:r>
        <w:rPr>
          <w:rFonts w:hAnsi="Courier New" w:cs="Courier New"/>
          <w:b/>
          <w:bCs/>
          <w:color w:val="008080"/>
          <w:shd w:val="clear" w:color="auto" w:fill="FFFFFF"/>
        </w:rPr>
        <w:t>2</w:t>
      </w:r>
      <w:r>
        <w:rPr>
          <w:rFonts w:hAnsi="Courier New" w:cs="Courier New"/>
          <w:color w:val="000000"/>
          <w:shd w:val="clear" w:color="auto" w:fill="FFFFFF"/>
        </w:rPr>
        <w:t>;</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b/>
          <w:bCs/>
          <w:color w:val="000080"/>
          <w:shd w:val="clear" w:color="auto" w:fill="FFFFFF"/>
        </w:rPr>
        <w:t>run</w:t>
      </w:r>
      <w:r>
        <w:rPr>
          <w:rFonts w:hAnsi="Courier New" w:cs="Courier New"/>
          <w:color w:val="000000"/>
          <w:shd w:val="clear" w:color="auto" w:fill="FFFFFF"/>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8000"/>
          <w:shd w:val="clear" w:color="auto" w:fill="FFFFFF"/>
        </w:rPr>
      </w:pPr>
      <w:r>
        <w:rPr>
          <w:rFonts w:hAnsi="Courier New" w:cs="Courier New"/>
          <w:color w:val="008000"/>
          <w:shd w:val="clear" w:color="auto" w:fill="FFFFFF"/>
        </w:rPr>
        <w:t xml:space="preserve">/* Print table </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8000"/>
          <w:shd w:val="clear" w:color="auto" w:fill="FFFFFF"/>
        </w:rPr>
      </w:pPr>
      <w:r>
        <w:rPr>
          <w:rFonts w:hAnsi="Courier New" w:cs="Courier New"/>
          <w:color w:val="008000"/>
          <w:shd w:val="clear" w:color="auto" w:fill="FFFFFF"/>
        </w:rPr>
        <w:t>Proc print data = train;</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8000"/>
          <w:shd w:val="clear" w:color="auto" w:fill="FFFFFF"/>
        </w:rPr>
        <w:t>run; */</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b/>
          <w:bCs/>
          <w:color w:val="000080"/>
          <w:shd w:val="clear" w:color="auto" w:fill="FFFFFF"/>
        </w:rPr>
        <w:t>proc</w:t>
      </w:r>
      <w:r>
        <w:rPr>
          <w:rFonts w:hAnsi="Courier New" w:cs="Courier New"/>
          <w:color w:val="000000"/>
          <w:shd w:val="clear" w:color="auto" w:fill="FFFFFF"/>
        </w:rPr>
        <w:t xml:space="preserve"> </w:t>
      </w:r>
      <w:r>
        <w:rPr>
          <w:rFonts w:hAnsi="Courier New" w:cs="Courier New"/>
          <w:b/>
          <w:bCs/>
          <w:color w:val="000080"/>
          <w:shd w:val="clear" w:color="auto" w:fill="FFFFFF"/>
        </w:rPr>
        <w:t>glm</w:t>
      </w:r>
      <w:r>
        <w:rPr>
          <w:rFonts w:hAnsi="Courier New" w:cs="Courier New"/>
          <w:color w:val="000000"/>
          <w:shd w:val="clear" w:color="auto" w:fill="FFFFFF"/>
        </w:rPr>
        <w:t xml:space="preserve"> </w:t>
      </w:r>
      <w:r>
        <w:rPr>
          <w:rFonts w:hAnsi="Courier New" w:cs="Courier New"/>
          <w:color w:val="0000FF"/>
          <w:shd w:val="clear" w:color="auto" w:fill="FFFFFF"/>
        </w:rPr>
        <w:t>data</w:t>
      </w:r>
      <w:r>
        <w:rPr>
          <w:rFonts w:hAnsi="Courier New" w:cs="Courier New"/>
          <w:color w:val="000000"/>
          <w:shd w:val="clear" w:color="auto" w:fill="FFFFFF"/>
        </w:rPr>
        <w:t xml:space="preserve">=WORK.train </w:t>
      </w:r>
      <w:r>
        <w:rPr>
          <w:rFonts w:hAnsi="Courier New" w:cs="Courier New"/>
          <w:color w:val="0000FF"/>
          <w:shd w:val="clear" w:color="auto" w:fill="FFFFFF"/>
        </w:rPr>
        <w:t>plots</w:t>
      </w:r>
      <w:r>
        <w:rPr>
          <w:rFonts w:hAnsi="Courier New" w:cs="Courier New"/>
          <w:color w:val="000000"/>
          <w:shd w:val="clear" w:color="auto" w:fill="FFFFFF"/>
        </w:rPr>
        <w:t>=all;</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00FF"/>
          <w:shd w:val="clear" w:color="auto" w:fill="FFFFFF"/>
        </w:rPr>
        <w:t>Where</w:t>
      </w:r>
      <w:r>
        <w:rPr>
          <w:rFonts w:hAnsi="Courier New" w:cs="Courier New"/>
          <w:color w:val="000000"/>
          <w:shd w:val="clear" w:color="auto" w:fill="FFFFFF"/>
        </w:rPr>
        <w:t xml:space="preserve"> Neighborhood = </w:t>
      </w:r>
      <w:r>
        <w:rPr>
          <w:rFonts w:hAnsi="Courier New" w:cs="Courier New"/>
          <w:color w:val="800080"/>
          <w:shd w:val="clear" w:color="auto" w:fill="FFFFFF"/>
        </w:rPr>
        <w:t>"BrkSide"</w:t>
      </w:r>
      <w:r>
        <w:rPr>
          <w:rFonts w:hAnsi="Courier New" w:cs="Courier New"/>
          <w:color w:val="000000"/>
          <w:shd w:val="clear" w:color="auto" w:fill="FFFFFF"/>
        </w:rPr>
        <w:t xml:space="preserve"> | Neighborhood = </w:t>
      </w:r>
      <w:r>
        <w:rPr>
          <w:rFonts w:hAnsi="Courier New" w:cs="Courier New"/>
          <w:color w:val="800080"/>
          <w:shd w:val="clear" w:color="auto" w:fill="FFFFFF"/>
        </w:rPr>
        <w:t>"NAmes"</w:t>
      </w:r>
      <w:r>
        <w:rPr>
          <w:rFonts w:hAnsi="Courier New" w:cs="Courier New"/>
          <w:color w:val="000000"/>
          <w:shd w:val="clear" w:color="auto" w:fill="FFFFFF"/>
        </w:rPr>
        <w:t xml:space="preserve"> | Neighborhood = </w:t>
      </w:r>
      <w:r>
        <w:rPr>
          <w:rFonts w:hAnsi="Courier New" w:cs="Courier New"/>
          <w:color w:val="800080"/>
          <w:shd w:val="clear" w:color="auto" w:fill="FFFFFF"/>
        </w:rPr>
        <w:t>"Edwards"</w:t>
      </w:r>
      <w:r>
        <w:rPr>
          <w:rFonts w:hAnsi="Courier New" w:cs="Courier New"/>
          <w:color w:val="000000"/>
          <w:shd w:val="clear" w:color="auto" w:fill="FFFFFF"/>
        </w:rPr>
        <w:t>;</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00FF"/>
          <w:shd w:val="clear" w:color="auto" w:fill="FFFFFF"/>
        </w:rPr>
        <w:t>class</w:t>
      </w:r>
      <w:r>
        <w:rPr>
          <w:rFonts w:hAnsi="Courier New" w:cs="Courier New"/>
          <w:color w:val="000000"/>
          <w:shd w:val="clear" w:color="auto" w:fill="FFFFFF"/>
        </w:rPr>
        <w:t xml:space="preserve"> Neighborhood (REF=</w:t>
      </w:r>
      <w:r>
        <w:rPr>
          <w:rFonts w:hAnsi="Courier New" w:cs="Courier New"/>
          <w:color w:val="800080"/>
          <w:shd w:val="clear" w:color="auto" w:fill="FFFFFF"/>
        </w:rPr>
        <w:t>"BrkSide"</w:t>
      </w:r>
      <w:r>
        <w:rPr>
          <w:rFonts w:hAnsi="Courier New" w:cs="Courier New"/>
          <w:color w:val="000000"/>
          <w:shd w:val="clear" w:color="auto" w:fill="FFFFFF"/>
        </w:rPr>
        <w:t>);</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00FF"/>
          <w:shd w:val="clear" w:color="auto" w:fill="FFFFFF"/>
        </w:rPr>
        <w:t>model</w:t>
      </w:r>
      <w:r>
        <w:rPr>
          <w:rFonts w:hAnsi="Courier New" w:cs="Courier New"/>
          <w:color w:val="000000"/>
          <w:shd w:val="clear" w:color="auto" w:fill="FFFFFF"/>
        </w:rPr>
        <w:t xml:space="preserve"> SalePrice = GrLivArea | Neighborhood/</w:t>
      </w:r>
      <w:r>
        <w:rPr>
          <w:rFonts w:hAnsi="Courier New" w:cs="Courier New"/>
          <w:color w:val="0000FF"/>
          <w:shd w:val="clear" w:color="auto" w:fill="FFFFFF"/>
        </w:rPr>
        <w:t>solution</w:t>
      </w:r>
      <w:r>
        <w:rPr>
          <w:rFonts w:hAnsi="Courier New" w:cs="Courier New"/>
          <w:color w:val="000000"/>
          <w:shd w:val="clear" w:color="auto" w:fill="FFFFFF"/>
        </w:rPr>
        <w:t xml:space="preserve"> </w:t>
      </w:r>
      <w:r>
        <w:rPr>
          <w:rFonts w:hAnsi="Courier New" w:cs="Courier New"/>
          <w:color w:val="0000FF"/>
          <w:shd w:val="clear" w:color="auto" w:fill="FFFFFF"/>
        </w:rPr>
        <w:t>clm</w:t>
      </w:r>
      <w:r>
        <w:rPr>
          <w:rFonts w:hAnsi="Courier New" w:cs="Courier New"/>
          <w:color w:val="000000"/>
          <w:shd w:val="clear" w:color="auto" w:fill="FFFFFF"/>
        </w:rPr>
        <w:t xml:space="preserve"> </w:t>
      </w:r>
      <w:r>
        <w:rPr>
          <w:rFonts w:hAnsi="Courier New" w:cs="Courier New"/>
          <w:color w:val="0000FF"/>
          <w:shd w:val="clear" w:color="auto" w:fill="FFFFFF"/>
        </w:rPr>
        <w:t>cli</w:t>
      </w:r>
      <w:r>
        <w:rPr>
          <w:rFonts w:hAnsi="Courier New" w:cs="Courier New"/>
          <w:color w:val="000000"/>
          <w:shd w:val="clear" w:color="auto" w:fill="FFFFFF"/>
        </w:rPr>
        <w:t>;</w:t>
      </w:r>
    </w:p>
    <w:p>
      <w:pPr>
        <w:pBdr>
          <w:top w:val="single" w:color="auto" w:sz="4" w:space="1"/>
          <w:left w:val="single" w:color="auto" w:sz="4" w:space="4"/>
          <w:bottom w:val="single" w:color="auto" w:sz="4" w:space="1"/>
          <w:right w:val="single" w:color="auto" w:sz="4" w:space="4"/>
        </w:pBdr>
      </w:pPr>
      <w:r>
        <w:rPr>
          <w:rFonts w:hAnsi="Courier New" w:cs="Courier New"/>
          <w:b/>
          <w:bCs/>
          <w:color w:val="000080"/>
          <w:shd w:val="clear" w:color="auto" w:fill="FFFFFF"/>
        </w:rPr>
        <w:t>run</w:t>
      </w:r>
      <w:r>
        <w:rPr>
          <w:rFonts w:hAnsi="Courier New" w:cs="Courier New"/>
          <w:color w:val="000000"/>
          <w:shd w:val="clear" w:color="auto" w:fill="FFFFFF"/>
        </w:rPr>
        <w:t>;</w:t>
      </w:r>
    </w:p>
    <w:p/>
    <w:p>
      <w:r>
        <w:t>Table: 1.1: Regression Line with Slope and Intercept table (Original Data)</w:t>
      </w:r>
    </w:p>
    <w:p/>
    <w:p>
      <w:r>
        <w:drawing>
          <wp:inline distT="0" distB="0" distL="0" distR="0">
            <wp:extent cx="5162550"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
                    <a:stretch>
                      <a:fillRect/>
                    </a:stretch>
                  </pic:blipFill>
                  <pic:spPr>
                    <a:xfrm>
                      <a:off x="0" y="0"/>
                      <a:ext cx="5162550" cy="2667000"/>
                    </a:xfrm>
                    <a:prstGeom prst="rect">
                      <a:avLst/>
                    </a:prstGeom>
                  </pic:spPr>
                </pic:pic>
              </a:graphicData>
            </a:graphic>
          </wp:inline>
        </w:drawing>
      </w:r>
    </w:p>
    <w:p/>
    <w:p/>
    <w:p/>
    <w:p/>
    <w:p/>
    <w:p/>
    <w:p>
      <w:r>
        <w:t xml:space="preserve">Code to remove outliers </w:t>
      </w:r>
    </w:p>
    <w:p/>
    <w:p>
      <w:pPr>
        <w:autoSpaceDE w:val="0"/>
        <w:autoSpaceDN w:val="0"/>
        <w:adjustRightInd w:val="0"/>
        <w:rPr>
          <w:rFonts w:hAnsi="Courier New" w:cs="Courier New"/>
          <w:color w:val="000000"/>
          <w:shd w:val="clear" w:color="auto" w:fill="FFFFFF"/>
        </w:rPr>
      </w:pP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b/>
          <w:bCs/>
          <w:color w:val="000080"/>
          <w:shd w:val="clear" w:color="auto" w:fill="FFFFFF"/>
        </w:rPr>
        <w:t>proc</w:t>
      </w:r>
      <w:r>
        <w:rPr>
          <w:rFonts w:hAnsi="Courier New" w:cs="Courier New"/>
          <w:color w:val="000000"/>
          <w:shd w:val="clear" w:color="auto" w:fill="FFFFFF"/>
        </w:rPr>
        <w:t xml:space="preserve"> </w:t>
      </w:r>
      <w:r>
        <w:rPr>
          <w:rFonts w:hAnsi="Courier New" w:cs="Courier New"/>
          <w:b/>
          <w:bCs/>
          <w:color w:val="000080"/>
          <w:shd w:val="clear" w:color="auto" w:fill="FFFFFF"/>
        </w:rPr>
        <w:t>glm</w:t>
      </w:r>
      <w:r>
        <w:rPr>
          <w:rFonts w:hAnsi="Courier New" w:cs="Courier New"/>
          <w:color w:val="000000"/>
          <w:shd w:val="clear" w:color="auto" w:fill="FFFFFF"/>
        </w:rPr>
        <w:t xml:space="preserve"> </w:t>
      </w:r>
      <w:r>
        <w:rPr>
          <w:rFonts w:hAnsi="Courier New" w:cs="Courier New"/>
          <w:color w:val="0000FF"/>
          <w:shd w:val="clear" w:color="auto" w:fill="FFFFFF"/>
        </w:rPr>
        <w:t>data</w:t>
      </w:r>
      <w:r>
        <w:rPr>
          <w:rFonts w:hAnsi="Courier New" w:cs="Courier New"/>
          <w:color w:val="000000"/>
          <w:shd w:val="clear" w:color="auto" w:fill="FFFFFF"/>
        </w:rPr>
        <w:t xml:space="preserve">=WORK.train </w:t>
      </w:r>
      <w:r>
        <w:rPr>
          <w:rFonts w:hAnsi="Courier New" w:cs="Courier New"/>
          <w:color w:val="0000FF"/>
          <w:shd w:val="clear" w:color="auto" w:fill="FFFFFF"/>
        </w:rPr>
        <w:t>plots</w:t>
      </w:r>
      <w:r>
        <w:rPr>
          <w:rFonts w:hAnsi="Courier New" w:cs="Courier New"/>
          <w:color w:val="000000"/>
          <w:shd w:val="clear" w:color="auto" w:fill="FFFFFF"/>
        </w:rPr>
        <w:t>=all;</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00FF"/>
          <w:shd w:val="clear" w:color="auto" w:fill="FFFFFF"/>
        </w:rPr>
        <w:t>Where</w:t>
      </w:r>
      <w:r>
        <w:rPr>
          <w:rFonts w:hAnsi="Courier New" w:cs="Courier New"/>
          <w:color w:val="000000"/>
          <w:shd w:val="clear" w:color="auto" w:fill="FFFFFF"/>
        </w:rPr>
        <w:t xml:space="preserve"> Neighborhood = </w:t>
      </w:r>
      <w:r>
        <w:rPr>
          <w:rFonts w:hAnsi="Courier New" w:cs="Courier New"/>
          <w:color w:val="800080"/>
          <w:shd w:val="clear" w:color="auto" w:fill="FFFFFF"/>
        </w:rPr>
        <w:t>"BrkSide"</w:t>
      </w:r>
      <w:r>
        <w:rPr>
          <w:rFonts w:hAnsi="Courier New" w:cs="Courier New"/>
          <w:color w:val="000000"/>
          <w:shd w:val="clear" w:color="auto" w:fill="FFFFFF"/>
        </w:rPr>
        <w:t xml:space="preserve"> | Neighborhood = </w:t>
      </w:r>
      <w:r>
        <w:rPr>
          <w:rFonts w:hAnsi="Courier New" w:cs="Courier New"/>
          <w:color w:val="800080"/>
          <w:shd w:val="clear" w:color="auto" w:fill="FFFFFF"/>
        </w:rPr>
        <w:t>"NAmes"</w:t>
      </w:r>
      <w:r>
        <w:rPr>
          <w:rFonts w:hAnsi="Courier New" w:cs="Courier New"/>
          <w:color w:val="000000"/>
          <w:shd w:val="clear" w:color="auto" w:fill="FFFFFF"/>
        </w:rPr>
        <w:t xml:space="preserve"> &amp; Id ne </w:t>
      </w:r>
      <w:r>
        <w:rPr>
          <w:rFonts w:hAnsi="Courier New" w:cs="Courier New"/>
          <w:b/>
          <w:bCs/>
          <w:color w:val="008080"/>
          <w:shd w:val="clear" w:color="auto" w:fill="FFFFFF"/>
        </w:rPr>
        <w:t>643</w:t>
      </w:r>
      <w:r>
        <w:rPr>
          <w:rFonts w:hAnsi="Courier New" w:cs="Courier New"/>
          <w:color w:val="000000"/>
          <w:shd w:val="clear" w:color="auto" w:fill="FFFFFF"/>
        </w:rPr>
        <w:t xml:space="preserve"> | Neighborhood = </w:t>
      </w:r>
      <w:r>
        <w:rPr>
          <w:rFonts w:hAnsi="Courier New" w:cs="Courier New"/>
          <w:color w:val="800080"/>
          <w:shd w:val="clear" w:color="auto" w:fill="FFFFFF"/>
        </w:rPr>
        <w:t>"Edwards"</w:t>
      </w:r>
      <w:r>
        <w:rPr>
          <w:rFonts w:hAnsi="Courier New" w:cs="Courier New"/>
          <w:color w:val="000000"/>
          <w:shd w:val="clear" w:color="auto" w:fill="FFFFFF"/>
        </w:rPr>
        <w:t xml:space="preserve"> &amp; Id ne </w:t>
      </w:r>
      <w:r>
        <w:rPr>
          <w:rFonts w:hAnsi="Courier New" w:cs="Courier New"/>
          <w:b/>
          <w:bCs/>
          <w:color w:val="008080"/>
          <w:shd w:val="clear" w:color="auto" w:fill="FFFFFF"/>
        </w:rPr>
        <w:t>524</w:t>
      </w:r>
      <w:r>
        <w:rPr>
          <w:rFonts w:hAnsi="Courier New" w:cs="Courier New"/>
          <w:color w:val="000000"/>
          <w:shd w:val="clear" w:color="auto" w:fill="FFFFFF"/>
        </w:rPr>
        <w:t xml:space="preserve">  &amp; Id ne </w:t>
      </w:r>
      <w:r>
        <w:rPr>
          <w:rFonts w:hAnsi="Courier New" w:cs="Courier New"/>
          <w:b/>
          <w:bCs/>
          <w:color w:val="008080"/>
          <w:shd w:val="clear" w:color="auto" w:fill="FFFFFF"/>
        </w:rPr>
        <w:t>725</w:t>
      </w:r>
      <w:r>
        <w:rPr>
          <w:rFonts w:hAnsi="Courier New" w:cs="Courier New"/>
          <w:color w:val="000000"/>
          <w:shd w:val="clear" w:color="auto" w:fill="FFFFFF"/>
        </w:rPr>
        <w:t xml:space="preserve"> &amp; Id ne </w:t>
      </w:r>
      <w:r>
        <w:rPr>
          <w:rFonts w:hAnsi="Courier New" w:cs="Courier New"/>
          <w:b/>
          <w:bCs/>
          <w:color w:val="008080"/>
          <w:shd w:val="clear" w:color="auto" w:fill="FFFFFF"/>
        </w:rPr>
        <w:t>1299</w:t>
      </w:r>
      <w:r>
        <w:rPr>
          <w:rFonts w:hAnsi="Courier New" w:cs="Courier New"/>
          <w:color w:val="000000"/>
          <w:shd w:val="clear" w:color="auto" w:fill="FFFFFF"/>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00FF"/>
          <w:shd w:val="clear" w:color="auto" w:fill="FFFFFF"/>
        </w:rPr>
        <w:t>class</w:t>
      </w:r>
      <w:r>
        <w:rPr>
          <w:rFonts w:hAnsi="Courier New" w:cs="Courier New"/>
          <w:color w:val="000000"/>
          <w:shd w:val="clear" w:color="auto" w:fill="FFFFFF"/>
        </w:rPr>
        <w:t xml:space="preserve"> Neighborhood (REF=</w:t>
      </w:r>
      <w:r>
        <w:rPr>
          <w:rFonts w:hAnsi="Courier New" w:cs="Courier New"/>
          <w:color w:val="800080"/>
          <w:shd w:val="clear" w:color="auto" w:fill="FFFFFF"/>
        </w:rPr>
        <w:t>"BrkSide"</w:t>
      </w:r>
      <w:r>
        <w:rPr>
          <w:rFonts w:hAnsi="Courier New" w:cs="Courier New"/>
          <w:color w:val="000000"/>
          <w:shd w:val="clear" w:color="auto" w:fill="FFFFFF"/>
        </w:rPr>
        <w:t>);</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00FF"/>
          <w:shd w:val="clear" w:color="auto" w:fill="FFFFFF"/>
        </w:rPr>
        <w:t>model</w:t>
      </w:r>
      <w:r>
        <w:rPr>
          <w:rFonts w:hAnsi="Courier New" w:cs="Courier New"/>
          <w:color w:val="000000"/>
          <w:shd w:val="clear" w:color="auto" w:fill="FFFFFF"/>
        </w:rPr>
        <w:t xml:space="preserve"> SalePrice = GrLivArea | Neighborhood/</w:t>
      </w:r>
      <w:r>
        <w:rPr>
          <w:rFonts w:hAnsi="Courier New" w:cs="Courier New"/>
          <w:color w:val="0000FF"/>
          <w:shd w:val="clear" w:color="auto" w:fill="FFFFFF"/>
        </w:rPr>
        <w:t>solution</w:t>
      </w:r>
      <w:r>
        <w:rPr>
          <w:rFonts w:hAnsi="Courier New" w:cs="Courier New"/>
          <w:color w:val="000000"/>
          <w:shd w:val="clear" w:color="auto" w:fill="FFFFFF"/>
        </w:rPr>
        <w:t xml:space="preserve"> </w:t>
      </w:r>
      <w:r>
        <w:rPr>
          <w:rFonts w:hAnsi="Courier New" w:cs="Courier New"/>
          <w:color w:val="0000FF"/>
          <w:shd w:val="clear" w:color="auto" w:fill="FFFFFF"/>
        </w:rPr>
        <w:t>clm</w:t>
      </w:r>
      <w:r>
        <w:rPr>
          <w:rFonts w:hAnsi="Courier New" w:cs="Courier New"/>
          <w:color w:val="000000"/>
          <w:shd w:val="clear" w:color="auto" w:fill="FFFFFF"/>
        </w:rPr>
        <w:t xml:space="preserve"> </w:t>
      </w:r>
      <w:r>
        <w:rPr>
          <w:rFonts w:hAnsi="Courier New" w:cs="Courier New"/>
          <w:color w:val="0000FF"/>
          <w:shd w:val="clear" w:color="auto" w:fill="FFFFFF"/>
        </w:rPr>
        <w:t>cli</w:t>
      </w:r>
      <w:r>
        <w:rPr>
          <w:rFonts w:hAnsi="Courier New" w:cs="Courier New"/>
          <w:color w:val="000000"/>
          <w:shd w:val="clear" w:color="auto" w:fill="FFFFFF"/>
        </w:rPr>
        <w:t>;</w:t>
      </w:r>
    </w:p>
    <w:p>
      <w:pPr>
        <w:pBdr>
          <w:top w:val="single" w:color="auto" w:sz="4" w:space="1"/>
          <w:left w:val="single" w:color="auto" w:sz="4" w:space="4"/>
          <w:bottom w:val="single" w:color="auto" w:sz="4" w:space="1"/>
          <w:right w:val="single" w:color="auto" w:sz="4" w:space="4"/>
        </w:pBdr>
      </w:pPr>
      <w:r>
        <w:rPr>
          <w:rFonts w:hAnsi="Courier New" w:cs="Courier New"/>
          <w:b/>
          <w:bCs/>
          <w:color w:val="000080"/>
          <w:shd w:val="clear" w:color="auto" w:fill="FFFFFF"/>
        </w:rPr>
        <w:t>run</w:t>
      </w:r>
      <w:r>
        <w:rPr>
          <w:rFonts w:hAnsi="Courier New" w:cs="Courier New"/>
          <w:color w:val="000000"/>
          <w:shd w:val="clear" w:color="auto" w:fill="FFFFFF"/>
        </w:rPr>
        <w:t>;</w:t>
      </w:r>
    </w:p>
    <w:p/>
    <w:p/>
    <w:p/>
    <w:p/>
    <w:p/>
    <w:p>
      <w:r>
        <w:t>Table 1.2: Regression Line with Slope and Intercept table (Mod data after removing four Outliers):</w:t>
      </w:r>
    </w:p>
    <w:p/>
    <w:p>
      <w:r>
        <w:drawing>
          <wp:inline distT="0" distB="0" distL="0" distR="0">
            <wp:extent cx="4972050"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stretch>
                      <a:fillRect/>
                    </a:stretch>
                  </pic:blipFill>
                  <pic:spPr>
                    <a:xfrm>
                      <a:off x="0" y="0"/>
                      <a:ext cx="4972050" cy="2590800"/>
                    </a:xfrm>
                    <a:prstGeom prst="rect">
                      <a:avLst/>
                    </a:prstGeom>
                  </pic:spPr>
                </pic:pic>
              </a:graphicData>
            </a:graphic>
          </wp:inline>
        </w:drawing>
      </w:r>
    </w:p>
    <w:p/>
    <w:p>
      <w:r>
        <w:t>Table 1.3: List of data points removed:</w:t>
      </w:r>
    </w:p>
    <w:p/>
    <w:p>
      <w:r>
        <w:drawing>
          <wp:inline distT="0" distB="0" distL="0" distR="0">
            <wp:extent cx="2202815" cy="9779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202815" cy="977900"/>
                    </a:xfrm>
                    <a:prstGeom prst="rect">
                      <a:avLst/>
                    </a:prstGeom>
                    <a:noFill/>
                    <a:ln>
                      <a:noFill/>
                    </a:ln>
                  </pic:spPr>
                </pic:pic>
              </a:graphicData>
            </a:graphic>
          </wp:inline>
        </w:drawing>
      </w:r>
    </w:p>
    <w:p/>
    <w:p/>
    <w:p/>
    <w:p>
      <w:r>
        <w:t xml:space="preserve">Table 1.4 CV Press: Model with removed Outliers </w:t>
      </w:r>
    </w:p>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8000"/>
          <w:shd w:val="clear" w:color="auto" w:fill="FFFFFF"/>
        </w:rPr>
        <w:t>/* Calculating CV Press Model with Outlier Removed*/</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b/>
          <w:bCs/>
          <w:color w:val="000080"/>
          <w:shd w:val="clear" w:color="auto" w:fill="FFFFFF"/>
        </w:rPr>
        <w:t>proc</w:t>
      </w:r>
      <w:r>
        <w:rPr>
          <w:rFonts w:hAnsi="Courier New" w:cs="Courier New"/>
          <w:color w:val="000000"/>
          <w:shd w:val="clear" w:color="auto" w:fill="FFFFFF"/>
        </w:rPr>
        <w:t xml:space="preserve"> </w:t>
      </w:r>
      <w:r>
        <w:rPr>
          <w:rFonts w:hAnsi="Courier New" w:cs="Courier New"/>
          <w:b/>
          <w:bCs/>
          <w:color w:val="000080"/>
          <w:shd w:val="clear" w:color="auto" w:fill="FFFFFF"/>
        </w:rPr>
        <w:t>glmselect</w:t>
      </w:r>
      <w:r>
        <w:rPr>
          <w:rFonts w:hAnsi="Courier New" w:cs="Courier New"/>
          <w:color w:val="000000"/>
          <w:shd w:val="clear" w:color="auto" w:fill="FFFFFF"/>
        </w:rPr>
        <w:t xml:space="preserve"> </w:t>
      </w:r>
      <w:r>
        <w:rPr>
          <w:rFonts w:hAnsi="Courier New" w:cs="Courier New"/>
          <w:color w:val="0000FF"/>
          <w:shd w:val="clear" w:color="auto" w:fill="FFFFFF"/>
        </w:rPr>
        <w:t>data</w:t>
      </w:r>
      <w:r>
        <w:rPr>
          <w:rFonts w:hAnsi="Courier New" w:cs="Courier New"/>
          <w:color w:val="000000"/>
          <w:shd w:val="clear" w:color="auto" w:fill="FFFFFF"/>
        </w:rPr>
        <w:t xml:space="preserve"> = train plots (stepaxis = number)=(criterionpanel ASEPLOT); </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00FF"/>
          <w:shd w:val="clear" w:color="auto" w:fill="FFFFFF"/>
        </w:rPr>
        <w:t>Where</w:t>
      </w:r>
      <w:r>
        <w:rPr>
          <w:rFonts w:hAnsi="Courier New" w:cs="Courier New"/>
          <w:color w:val="000000"/>
          <w:shd w:val="clear" w:color="auto" w:fill="FFFFFF"/>
        </w:rPr>
        <w:t xml:space="preserve"> Neighborhood = </w:t>
      </w:r>
      <w:r>
        <w:rPr>
          <w:rFonts w:hAnsi="Courier New" w:cs="Courier New"/>
          <w:color w:val="800080"/>
          <w:shd w:val="clear" w:color="auto" w:fill="FFFFFF"/>
        </w:rPr>
        <w:t>"BrkSide"</w:t>
      </w:r>
      <w:r>
        <w:rPr>
          <w:rFonts w:hAnsi="Courier New" w:cs="Courier New"/>
          <w:color w:val="000000"/>
          <w:shd w:val="clear" w:color="auto" w:fill="FFFFFF"/>
        </w:rPr>
        <w:t xml:space="preserve"> | Neighborhood = </w:t>
      </w:r>
      <w:r>
        <w:rPr>
          <w:rFonts w:hAnsi="Courier New" w:cs="Courier New"/>
          <w:color w:val="800080"/>
          <w:shd w:val="clear" w:color="auto" w:fill="FFFFFF"/>
        </w:rPr>
        <w:t>"NAmes"</w:t>
      </w:r>
      <w:r>
        <w:rPr>
          <w:rFonts w:hAnsi="Courier New" w:cs="Courier New"/>
          <w:color w:val="000000"/>
          <w:shd w:val="clear" w:color="auto" w:fill="FFFFFF"/>
        </w:rPr>
        <w:t xml:space="preserve"> &amp; Id ne </w:t>
      </w:r>
      <w:r>
        <w:rPr>
          <w:rFonts w:hAnsi="Courier New" w:cs="Courier New"/>
          <w:b/>
          <w:bCs/>
          <w:color w:val="008080"/>
          <w:shd w:val="clear" w:color="auto" w:fill="FFFFFF"/>
        </w:rPr>
        <w:t>643</w:t>
      </w:r>
      <w:r>
        <w:rPr>
          <w:rFonts w:hAnsi="Courier New" w:cs="Courier New"/>
          <w:color w:val="000000"/>
          <w:shd w:val="clear" w:color="auto" w:fill="FFFFFF"/>
        </w:rPr>
        <w:t xml:space="preserve"> | Neighborhood = </w:t>
      </w:r>
      <w:r>
        <w:rPr>
          <w:rFonts w:hAnsi="Courier New" w:cs="Courier New"/>
          <w:color w:val="800080"/>
          <w:shd w:val="clear" w:color="auto" w:fill="FFFFFF"/>
        </w:rPr>
        <w:t>"Edwards"</w:t>
      </w:r>
      <w:r>
        <w:rPr>
          <w:rFonts w:hAnsi="Courier New" w:cs="Courier New"/>
          <w:color w:val="000000"/>
          <w:shd w:val="clear" w:color="auto" w:fill="FFFFFF"/>
        </w:rPr>
        <w:t xml:space="preserve"> &amp; Id ne </w:t>
      </w:r>
      <w:r>
        <w:rPr>
          <w:rFonts w:hAnsi="Courier New" w:cs="Courier New"/>
          <w:b/>
          <w:bCs/>
          <w:color w:val="008080"/>
          <w:shd w:val="clear" w:color="auto" w:fill="FFFFFF"/>
        </w:rPr>
        <w:t>524</w:t>
      </w:r>
      <w:r>
        <w:rPr>
          <w:rFonts w:hAnsi="Courier New" w:cs="Courier New"/>
          <w:color w:val="000000"/>
          <w:shd w:val="clear" w:color="auto" w:fill="FFFFFF"/>
        </w:rPr>
        <w:t xml:space="preserve">  &amp; Id ne </w:t>
      </w:r>
      <w:r>
        <w:rPr>
          <w:rFonts w:hAnsi="Courier New" w:cs="Courier New"/>
          <w:b/>
          <w:bCs/>
          <w:color w:val="008080"/>
          <w:shd w:val="clear" w:color="auto" w:fill="FFFFFF"/>
        </w:rPr>
        <w:t>725</w:t>
      </w:r>
      <w:r>
        <w:rPr>
          <w:rFonts w:hAnsi="Courier New" w:cs="Courier New"/>
          <w:color w:val="000000"/>
          <w:shd w:val="clear" w:color="auto" w:fill="FFFFFF"/>
        </w:rPr>
        <w:t xml:space="preserve"> &amp; Id ne </w:t>
      </w:r>
      <w:r>
        <w:rPr>
          <w:rFonts w:hAnsi="Courier New" w:cs="Courier New"/>
          <w:b/>
          <w:bCs/>
          <w:color w:val="008080"/>
          <w:shd w:val="clear" w:color="auto" w:fill="FFFFFF"/>
        </w:rPr>
        <w:t>1299</w:t>
      </w:r>
      <w:r>
        <w:rPr>
          <w:rFonts w:hAnsi="Courier New" w:cs="Courier New"/>
          <w:color w:val="000000"/>
          <w:shd w:val="clear" w:color="auto" w:fill="FFFFFF"/>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00FF"/>
          <w:shd w:val="clear" w:color="auto" w:fill="FFFFFF"/>
        </w:rPr>
        <w:t>model</w:t>
      </w:r>
      <w:r>
        <w:rPr>
          <w:rFonts w:hAnsi="Courier New" w:cs="Courier New"/>
          <w:color w:val="000000"/>
          <w:shd w:val="clear" w:color="auto" w:fill="FFFFFF"/>
        </w:rPr>
        <w:t xml:space="preserve"> SalePrice = GrLivArea</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0000"/>
          <w:shd w:val="clear" w:color="auto" w:fill="FFFFFF"/>
        </w:rPr>
        <w:t xml:space="preserve">/ </w:t>
      </w:r>
      <w:r>
        <w:rPr>
          <w:rFonts w:hAnsi="Courier New" w:cs="Courier New"/>
          <w:color w:val="0000FF"/>
          <w:shd w:val="clear" w:color="auto" w:fill="FFFFFF"/>
        </w:rPr>
        <w:t>selection</w:t>
      </w:r>
      <w:r>
        <w:rPr>
          <w:rFonts w:hAnsi="Courier New" w:cs="Courier New"/>
          <w:color w:val="000000"/>
          <w:shd w:val="clear" w:color="auto" w:fill="FFFFFF"/>
        </w:rPr>
        <w:t xml:space="preserve"> = stepwise (select = cv choose = cv </w:t>
      </w:r>
      <w:r>
        <w:rPr>
          <w:rFonts w:hAnsi="Courier New" w:cs="Courier New"/>
          <w:color w:val="0000FF"/>
          <w:shd w:val="clear" w:color="auto" w:fill="FFFFFF"/>
        </w:rPr>
        <w:t>stop</w:t>
      </w:r>
      <w:r>
        <w:rPr>
          <w:rFonts w:hAnsi="Courier New" w:cs="Courier New"/>
          <w:color w:val="000000"/>
          <w:shd w:val="clear" w:color="auto" w:fill="FFFFFF"/>
        </w:rPr>
        <w:t xml:space="preserve"> = cv) CVDETAILS;</w:t>
      </w:r>
    </w:p>
    <w:p>
      <w:pPr>
        <w:pBdr>
          <w:top w:val="single" w:color="auto" w:sz="4" w:space="1"/>
          <w:left w:val="single" w:color="auto" w:sz="4" w:space="4"/>
          <w:bottom w:val="single" w:color="auto" w:sz="4" w:space="1"/>
          <w:right w:val="single" w:color="auto" w:sz="4" w:space="4"/>
        </w:pBdr>
      </w:pPr>
      <w:r>
        <w:rPr>
          <w:rFonts w:hAnsi="Courier New" w:cs="Courier New"/>
          <w:b/>
          <w:bCs/>
          <w:color w:val="000080"/>
          <w:shd w:val="clear" w:color="auto" w:fill="FFFFFF"/>
        </w:rPr>
        <w:t>run</w:t>
      </w:r>
      <w:r>
        <w:rPr>
          <w:rFonts w:hAnsi="Courier New" w:cs="Courier New"/>
          <w:color w:val="000000"/>
          <w:shd w:val="clear" w:color="auto" w:fill="FFFFFF"/>
        </w:rPr>
        <w:t>;</w:t>
      </w:r>
    </w:p>
    <w:p>
      <w:r>
        <w:drawing>
          <wp:inline distT="0" distB="0" distL="0" distR="0">
            <wp:extent cx="3958590" cy="62484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992712" cy="6301294"/>
                    </a:xfrm>
                    <a:prstGeom prst="rect">
                      <a:avLst/>
                    </a:prstGeom>
                  </pic:spPr>
                </pic:pic>
              </a:graphicData>
            </a:graphic>
          </wp:inline>
        </w:drawing>
      </w:r>
    </w:p>
    <w:p>
      <w:r>
        <w:t xml:space="preserve">Table 1.5 CV Press: Competing Model with removed Outliers </w:t>
      </w:r>
    </w:p>
    <w:p>
      <w:pPr>
        <w:autoSpaceDE w:val="0"/>
        <w:autoSpaceDN w:val="0"/>
        <w:adjustRightInd w:val="0"/>
        <w:rPr>
          <w:rFonts w:hAnsi="Courier New" w:cs="Courier New"/>
          <w:color w:val="000000"/>
          <w:shd w:val="clear" w:color="auto" w:fill="FFFFFF"/>
        </w:rPr>
      </w:pP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8000"/>
          <w:shd w:val="clear" w:color="auto" w:fill="FFFFFF"/>
        </w:rPr>
        <w:t>/* Calculating CV Press Competing Model with Outlier Removed*/</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b/>
          <w:bCs/>
          <w:color w:val="000080"/>
          <w:shd w:val="clear" w:color="auto" w:fill="FFFFFF"/>
        </w:rPr>
        <w:t>proc</w:t>
      </w:r>
      <w:r>
        <w:rPr>
          <w:rFonts w:hAnsi="Courier New" w:cs="Courier New"/>
          <w:color w:val="000000"/>
          <w:shd w:val="clear" w:color="auto" w:fill="FFFFFF"/>
        </w:rPr>
        <w:t xml:space="preserve"> </w:t>
      </w:r>
      <w:r>
        <w:rPr>
          <w:rFonts w:hAnsi="Courier New" w:cs="Courier New"/>
          <w:b/>
          <w:bCs/>
          <w:color w:val="000080"/>
          <w:shd w:val="clear" w:color="auto" w:fill="FFFFFF"/>
        </w:rPr>
        <w:t>glmselect</w:t>
      </w:r>
      <w:r>
        <w:rPr>
          <w:rFonts w:hAnsi="Courier New" w:cs="Courier New"/>
          <w:color w:val="000000"/>
          <w:shd w:val="clear" w:color="auto" w:fill="FFFFFF"/>
        </w:rPr>
        <w:t xml:space="preserve"> </w:t>
      </w:r>
      <w:r>
        <w:rPr>
          <w:rFonts w:hAnsi="Courier New" w:cs="Courier New"/>
          <w:color w:val="0000FF"/>
          <w:shd w:val="clear" w:color="auto" w:fill="FFFFFF"/>
        </w:rPr>
        <w:t>data</w:t>
      </w:r>
      <w:r>
        <w:rPr>
          <w:rFonts w:hAnsi="Courier New" w:cs="Courier New"/>
          <w:color w:val="000000"/>
          <w:shd w:val="clear" w:color="auto" w:fill="FFFFFF"/>
        </w:rPr>
        <w:t xml:space="preserve"> = train plots (stepaxis = number)=(criterionpanel ASEPLOT); </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00FF"/>
          <w:shd w:val="clear" w:color="auto" w:fill="FFFFFF"/>
        </w:rPr>
        <w:t>Where</w:t>
      </w:r>
      <w:r>
        <w:rPr>
          <w:rFonts w:hAnsi="Courier New" w:cs="Courier New"/>
          <w:color w:val="000000"/>
          <w:shd w:val="clear" w:color="auto" w:fill="FFFFFF"/>
        </w:rPr>
        <w:t xml:space="preserve"> Neighborhood = </w:t>
      </w:r>
      <w:r>
        <w:rPr>
          <w:rFonts w:hAnsi="Courier New" w:cs="Courier New"/>
          <w:color w:val="800080"/>
          <w:shd w:val="clear" w:color="auto" w:fill="FFFFFF"/>
        </w:rPr>
        <w:t>"BrkSide"</w:t>
      </w:r>
      <w:r>
        <w:rPr>
          <w:rFonts w:hAnsi="Courier New" w:cs="Courier New"/>
          <w:color w:val="000000"/>
          <w:shd w:val="clear" w:color="auto" w:fill="FFFFFF"/>
        </w:rPr>
        <w:t xml:space="preserve"> | Neighborhood = </w:t>
      </w:r>
      <w:r>
        <w:rPr>
          <w:rFonts w:hAnsi="Courier New" w:cs="Courier New"/>
          <w:color w:val="800080"/>
          <w:shd w:val="clear" w:color="auto" w:fill="FFFFFF"/>
        </w:rPr>
        <w:t>"NAmes"</w:t>
      </w:r>
      <w:r>
        <w:rPr>
          <w:rFonts w:hAnsi="Courier New" w:cs="Courier New"/>
          <w:color w:val="000000"/>
          <w:shd w:val="clear" w:color="auto" w:fill="FFFFFF"/>
        </w:rPr>
        <w:t xml:space="preserve"> &amp; Id ne </w:t>
      </w:r>
      <w:r>
        <w:rPr>
          <w:rFonts w:hAnsi="Courier New" w:cs="Courier New"/>
          <w:b/>
          <w:bCs/>
          <w:color w:val="008080"/>
          <w:shd w:val="clear" w:color="auto" w:fill="FFFFFF"/>
        </w:rPr>
        <w:t>643</w:t>
      </w:r>
      <w:r>
        <w:rPr>
          <w:rFonts w:hAnsi="Courier New" w:cs="Courier New"/>
          <w:color w:val="000000"/>
          <w:shd w:val="clear" w:color="auto" w:fill="FFFFFF"/>
        </w:rPr>
        <w:t xml:space="preserve"> | Neighborhood = </w:t>
      </w:r>
      <w:r>
        <w:rPr>
          <w:rFonts w:hAnsi="Courier New" w:cs="Courier New"/>
          <w:color w:val="800080"/>
          <w:shd w:val="clear" w:color="auto" w:fill="FFFFFF"/>
        </w:rPr>
        <w:t>"Edwards"</w:t>
      </w:r>
      <w:r>
        <w:rPr>
          <w:rFonts w:hAnsi="Courier New" w:cs="Courier New"/>
          <w:color w:val="000000"/>
          <w:shd w:val="clear" w:color="auto" w:fill="FFFFFF"/>
        </w:rPr>
        <w:t xml:space="preserve"> &amp; Id ne </w:t>
      </w:r>
      <w:r>
        <w:rPr>
          <w:rFonts w:hAnsi="Courier New" w:cs="Courier New"/>
          <w:b/>
          <w:bCs/>
          <w:color w:val="008080"/>
          <w:shd w:val="clear" w:color="auto" w:fill="FFFFFF"/>
        </w:rPr>
        <w:t>524</w:t>
      </w:r>
      <w:r>
        <w:rPr>
          <w:rFonts w:hAnsi="Courier New" w:cs="Courier New"/>
          <w:color w:val="000000"/>
          <w:shd w:val="clear" w:color="auto" w:fill="FFFFFF"/>
        </w:rPr>
        <w:t xml:space="preserve">  &amp; Id ne </w:t>
      </w:r>
      <w:r>
        <w:rPr>
          <w:rFonts w:hAnsi="Courier New" w:cs="Courier New"/>
          <w:b/>
          <w:bCs/>
          <w:color w:val="008080"/>
          <w:shd w:val="clear" w:color="auto" w:fill="FFFFFF"/>
        </w:rPr>
        <w:t>725</w:t>
      </w:r>
      <w:r>
        <w:rPr>
          <w:rFonts w:hAnsi="Courier New" w:cs="Courier New"/>
          <w:color w:val="000000"/>
          <w:shd w:val="clear" w:color="auto" w:fill="FFFFFF"/>
        </w:rPr>
        <w:t xml:space="preserve"> &amp; Id ne </w:t>
      </w:r>
      <w:r>
        <w:rPr>
          <w:rFonts w:hAnsi="Courier New" w:cs="Courier New"/>
          <w:b/>
          <w:bCs/>
          <w:color w:val="008080"/>
          <w:shd w:val="clear" w:color="auto" w:fill="FFFFFF"/>
        </w:rPr>
        <w:t>1299</w:t>
      </w:r>
      <w:r>
        <w:rPr>
          <w:rFonts w:hAnsi="Courier New" w:cs="Courier New"/>
          <w:color w:val="000000"/>
          <w:shd w:val="clear" w:color="auto" w:fill="FFFFFF"/>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00FF"/>
          <w:shd w:val="clear" w:color="auto" w:fill="FFFFFF"/>
        </w:rPr>
        <w:t>model</w:t>
      </w:r>
      <w:r>
        <w:rPr>
          <w:rFonts w:hAnsi="Courier New" w:cs="Courier New"/>
          <w:color w:val="000000"/>
          <w:shd w:val="clear" w:color="auto" w:fill="FFFFFF"/>
        </w:rPr>
        <w:t xml:space="preserve"> SalePrice = GrLivArea TotalBsmtSF</w:t>
      </w:r>
    </w:p>
    <w:p>
      <w:pPr>
        <w:pBdr>
          <w:top w:val="single" w:color="auto" w:sz="4" w:space="1"/>
          <w:left w:val="single" w:color="auto" w:sz="4" w:space="4"/>
          <w:bottom w:val="single" w:color="auto" w:sz="4" w:space="1"/>
          <w:right w:val="single" w:color="auto" w:sz="4" w:space="4"/>
        </w:pBdr>
        <w:autoSpaceDE w:val="0"/>
        <w:autoSpaceDN w:val="0"/>
        <w:adjustRightInd w:val="0"/>
        <w:rPr>
          <w:rFonts w:hAnsi="Courier New" w:cs="Courier New"/>
          <w:color w:val="000000"/>
          <w:shd w:val="clear" w:color="auto" w:fill="FFFFFF"/>
        </w:rPr>
      </w:pPr>
      <w:r>
        <w:rPr>
          <w:rFonts w:hAnsi="Courier New" w:cs="Courier New"/>
          <w:color w:val="000000"/>
          <w:shd w:val="clear" w:color="auto" w:fill="FFFFFF"/>
        </w:rPr>
        <w:t xml:space="preserve">/ </w:t>
      </w:r>
      <w:r>
        <w:rPr>
          <w:rFonts w:hAnsi="Courier New" w:cs="Courier New"/>
          <w:color w:val="0000FF"/>
          <w:shd w:val="clear" w:color="auto" w:fill="FFFFFF"/>
        </w:rPr>
        <w:t>selection</w:t>
      </w:r>
      <w:r>
        <w:rPr>
          <w:rFonts w:hAnsi="Courier New" w:cs="Courier New"/>
          <w:color w:val="000000"/>
          <w:shd w:val="clear" w:color="auto" w:fill="FFFFFF"/>
        </w:rPr>
        <w:t xml:space="preserve"> = stepwise (select = cv choose = cv </w:t>
      </w:r>
      <w:r>
        <w:rPr>
          <w:rFonts w:hAnsi="Courier New" w:cs="Courier New"/>
          <w:color w:val="0000FF"/>
          <w:shd w:val="clear" w:color="auto" w:fill="FFFFFF"/>
        </w:rPr>
        <w:t>stop</w:t>
      </w:r>
      <w:r>
        <w:rPr>
          <w:rFonts w:hAnsi="Courier New" w:cs="Courier New"/>
          <w:color w:val="000000"/>
          <w:shd w:val="clear" w:color="auto" w:fill="FFFFFF"/>
        </w:rPr>
        <w:t xml:space="preserve"> = cv) CVDETAILS;</w:t>
      </w:r>
    </w:p>
    <w:p>
      <w:pPr>
        <w:pBdr>
          <w:top w:val="single" w:color="auto" w:sz="4" w:space="1"/>
          <w:left w:val="single" w:color="auto" w:sz="4" w:space="4"/>
          <w:bottom w:val="single" w:color="auto" w:sz="4" w:space="1"/>
          <w:right w:val="single" w:color="auto" w:sz="4" w:space="4"/>
        </w:pBdr>
        <w:rPr>
          <w:rFonts w:hAnsi="Courier New" w:cs="Courier New"/>
          <w:color w:val="000000"/>
          <w:shd w:val="clear" w:color="auto" w:fill="FFFFFF"/>
        </w:rPr>
      </w:pPr>
      <w:r>
        <w:rPr>
          <w:rFonts w:hAnsi="Courier New" w:cs="Courier New"/>
          <w:b/>
          <w:bCs/>
          <w:color w:val="000080"/>
          <w:shd w:val="clear" w:color="auto" w:fill="FFFFFF"/>
        </w:rPr>
        <w:t>run</w:t>
      </w:r>
      <w:r>
        <w:rPr>
          <w:rFonts w:hAnsi="Courier New" w:cs="Courier New"/>
          <w:color w:val="000000"/>
          <w:shd w:val="clear" w:color="auto" w:fill="FFFFFF"/>
        </w:rPr>
        <w:t>;</w:t>
      </w:r>
    </w:p>
    <w:p>
      <w:r>
        <w:drawing>
          <wp:inline distT="0" distB="0" distL="0" distR="0">
            <wp:extent cx="4086225" cy="629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4086225" cy="6296025"/>
                    </a:xfrm>
                    <a:prstGeom prst="rect">
                      <a:avLst/>
                    </a:prstGeom>
                  </pic:spPr>
                </pic:pic>
              </a:graphicData>
            </a:graphic>
          </wp:inline>
        </w:drawing>
      </w:r>
    </w:p>
    <w:p/>
    <w:p/>
    <w:p>
      <w:pPr>
        <w:tabs>
          <w:tab w:val="left" w:pos="2930"/>
        </w:tabs>
      </w:pPr>
    </w:p>
    <w:p/>
    <w:p/>
    <w:p/>
    <w:p/>
    <w:p/>
    <w:p/>
    <w:p/>
    <w:p>
      <w:pPr>
        <w:rPr>
          <w:b/>
          <w:bCs/>
          <w:u w:val="single"/>
        </w:rPr>
      </w:pPr>
      <w:r>
        <w:t xml:space="preserve">Fig 1.1: </w:t>
      </w:r>
      <w:r>
        <w:rPr>
          <w:b/>
          <w:bCs/>
          <w:u w:val="single"/>
        </w:rPr>
        <w:t xml:space="preserve">Residual Spread (constant Variance): </w:t>
      </w:r>
    </w:p>
    <w:p/>
    <w:p>
      <w:r>
        <w:drawing>
          <wp:inline distT="0" distB="0" distL="0" distR="0">
            <wp:extent cx="5943600" cy="2320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943600" cy="2320925"/>
                    </a:xfrm>
                    <a:prstGeom prst="rect">
                      <a:avLst/>
                    </a:prstGeom>
                  </pic:spPr>
                </pic:pic>
              </a:graphicData>
            </a:graphic>
          </wp:inline>
        </w:drawing>
      </w:r>
    </w:p>
    <w:p/>
    <w:p/>
    <w:p>
      <w:pPr>
        <w:rPr>
          <w:b/>
          <w:bCs/>
          <w:u w:val="single"/>
        </w:rPr>
      </w:pPr>
      <w:r>
        <w:t xml:space="preserve">Fig 1.2: </w:t>
      </w:r>
      <w:r>
        <w:rPr>
          <w:b/>
          <w:bCs/>
          <w:u w:val="single"/>
        </w:rPr>
        <w:t xml:space="preserve">Cook’s D: </w:t>
      </w:r>
    </w:p>
    <w:p>
      <w:r>
        <w:drawing>
          <wp:inline distT="0" distB="0" distL="0" distR="0">
            <wp:extent cx="454342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4543425" cy="2466975"/>
                    </a:xfrm>
                    <a:prstGeom prst="rect">
                      <a:avLst/>
                    </a:prstGeom>
                  </pic:spPr>
                </pic:pic>
              </a:graphicData>
            </a:graphic>
          </wp:inline>
        </w:drawing>
      </w:r>
    </w:p>
    <w:p/>
    <w:p>
      <w:r>
        <w:t xml:space="preserve">Fig 1.3: </w:t>
      </w:r>
      <w:r>
        <w:rPr>
          <w:b/>
          <w:bCs/>
          <w:u w:val="single"/>
        </w:rPr>
        <w:t>Q-Q Plot for Linearity</w:t>
      </w:r>
    </w:p>
    <w:p/>
    <w:p>
      <w:r>
        <w:drawing>
          <wp:inline distT="0" distB="0" distL="0" distR="0">
            <wp:extent cx="3538220" cy="1651635"/>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3567097" cy="1665628"/>
                    </a:xfrm>
                    <a:prstGeom prst="rect">
                      <a:avLst/>
                    </a:prstGeom>
                  </pic:spPr>
                </pic:pic>
              </a:graphicData>
            </a:graphic>
          </wp:inline>
        </w:drawing>
      </w:r>
    </w:p>
    <w:p/>
    <w:p>
      <w:r>
        <w:rPr>
          <w:b/>
          <w:bCs/>
        </w:rPr>
        <w:t xml:space="preserve">Fig 1.4 Scatter Plot (Linearity) </w:t>
      </w:r>
    </w:p>
    <w:p>
      <w:pPr>
        <w:tabs>
          <w:tab w:val="left" w:pos="2955"/>
        </w:tabs>
      </w:pPr>
    </w:p>
    <w:p>
      <w:pPr>
        <w:tabs>
          <w:tab w:val="left" w:pos="2955"/>
        </w:tabs>
      </w:pPr>
      <w:r>
        <w:drawing>
          <wp:inline distT="0" distB="0" distL="0" distR="0">
            <wp:extent cx="5943600" cy="22967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5943600" cy="2296795"/>
                    </a:xfrm>
                    <a:prstGeom prst="rect">
                      <a:avLst/>
                    </a:prstGeom>
                  </pic:spPr>
                </pic:pic>
              </a:graphicData>
            </a:graphic>
          </wp:inline>
        </w:drawing>
      </w:r>
    </w:p>
    <w:p>
      <w:pPr>
        <w:tabs>
          <w:tab w:val="left" w:pos="2955"/>
        </w:tabs>
        <w:rPr>
          <w:b/>
          <w:bCs/>
        </w:rPr>
      </w:pPr>
      <w:r>
        <w:rPr>
          <w:b/>
          <w:bCs/>
        </w:rPr>
        <w:t>Fig 1.5 : Q-Q Plot and Histogram with normality curve (Linearity)</w:t>
      </w:r>
    </w:p>
    <w:p>
      <w:pPr>
        <w:tabs>
          <w:tab w:val="left" w:pos="2955"/>
        </w:tabs>
      </w:pPr>
      <w:r>
        <w:drawing>
          <wp:inline distT="0" distB="0" distL="0" distR="0">
            <wp:extent cx="3655695" cy="33909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3681623" cy="3414605"/>
                    </a:xfrm>
                    <a:prstGeom prst="rect">
                      <a:avLst/>
                    </a:prstGeom>
                  </pic:spPr>
                </pic:pic>
              </a:graphicData>
            </a:graphic>
          </wp:inline>
        </w:drawing>
      </w:r>
    </w:p>
    <w:p>
      <w:pPr>
        <w:tabs>
          <w:tab w:val="left" w:pos="2955"/>
        </w:tabs>
      </w:pPr>
    </w:p>
    <w:p>
      <w:pPr>
        <w:tabs>
          <w:tab w:val="left" w:pos="2955"/>
        </w:tabs>
        <w:rPr>
          <w:b/>
          <w:bCs/>
        </w:rPr>
      </w:pPr>
      <w:r>
        <w:rPr>
          <w:b/>
          <w:bCs/>
        </w:rPr>
        <w:t>Analysis 2:</w:t>
      </w:r>
    </w:p>
    <w:p>
      <w:pPr>
        <w:tabs>
          <w:tab w:val="left" w:pos="2955"/>
        </w:tabs>
      </w:pPr>
    </w:p>
    <w:p>
      <w:pPr>
        <w:tabs>
          <w:tab w:val="left" w:pos="2955"/>
        </w:tabs>
      </w:pPr>
      <w:r>
        <w:t xml:space="preserve">Fig 2.0Code to Import data SAS after cleaning up the headers. Header of fields should start with alphabet.  </w:t>
      </w:r>
    </w:p>
    <w:p>
      <w:pPr>
        <w:tabs>
          <w:tab w:val="left" w:pos="2955"/>
        </w:tabs>
      </w:pPr>
    </w:p>
    <w:p>
      <w:pPr>
        <w:autoSpaceDE w:val="0"/>
        <w:autoSpaceDN w:val="0"/>
        <w:adjustRightInd w:val="0"/>
        <w:rPr>
          <w:rFonts w:ascii="Courier New" w:hAnsi="Courier New" w:cs="Courier New"/>
          <w:color w:val="000000"/>
          <w:sz w:val="20"/>
          <w:szCs w:val="20"/>
          <w:shd w:val="clear" w:color="auto" w:fill="FFFFFF"/>
        </w:rPr>
      </w:pPr>
    </w:p>
    <w:p>
      <w:pPr>
        <w:autoSpaceDE w:val="0"/>
        <w:autoSpaceDN w:val="0"/>
        <w:adjustRightInd w:val="0"/>
        <w:rPr>
          <w:rFonts w:ascii="Courier New" w:hAnsi="Courier New" w:cs="Courier New"/>
          <w:color w:val="000000"/>
          <w:sz w:val="20"/>
          <w:szCs w:val="20"/>
          <w:shd w:val="clear" w:color="auto" w:fill="FFFFFF"/>
        </w:rPr>
      </w:pP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Import data to SAS. Adjusted data field to start with alphabet vs. numeric */</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train1</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"C:\Paritosh\SMU\6371 Statistical Foundation for Data Science\Project\train 2.0.csv"</w:t>
      </w:r>
      <w:r>
        <w:rPr>
          <w:rFonts w:ascii="Courier New" w:hAnsi="Courier New" w:cs="Courier New"/>
          <w:color w:val="000000"/>
          <w:sz w:val="20"/>
          <w:szCs w:val="20"/>
          <w:shd w:val="clear" w:color="auto" w:fill="FFFFFF"/>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=CSV REPLACE;</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DATAROW</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print train */</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Work.train1;</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Remove Outliers from Data*/</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train;</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Work.train1;</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_n_= </w:t>
      </w:r>
      <w:r>
        <w:rPr>
          <w:rFonts w:ascii="Courier New" w:hAnsi="Courier New" w:cs="Courier New"/>
          <w:b/>
          <w:bCs/>
          <w:color w:val="008080"/>
          <w:sz w:val="20"/>
          <w:szCs w:val="20"/>
          <w:shd w:val="clear" w:color="auto" w:fill="FFFFFF"/>
        </w:rPr>
        <w:t>1299</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_n_= </w:t>
      </w:r>
      <w:r>
        <w:rPr>
          <w:rFonts w:ascii="Courier New" w:hAnsi="Courier New" w:cs="Courier New"/>
          <w:b/>
          <w:bCs/>
          <w:color w:val="008080"/>
          <w:sz w:val="20"/>
          <w:szCs w:val="20"/>
          <w:shd w:val="clear" w:color="auto" w:fill="FFFFFF"/>
        </w:rPr>
        <w:t>497</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_n_= </w:t>
      </w:r>
      <w:r>
        <w:rPr>
          <w:rFonts w:ascii="Courier New" w:hAnsi="Courier New" w:cs="Courier New"/>
          <w:b/>
          <w:bCs/>
          <w:color w:val="008080"/>
          <w:sz w:val="20"/>
          <w:szCs w:val="20"/>
          <w:shd w:val="clear" w:color="auto" w:fill="FFFFFF"/>
        </w:rPr>
        <w:t>739</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_n_= </w:t>
      </w:r>
      <w:r>
        <w:rPr>
          <w:rFonts w:ascii="Courier New" w:hAnsi="Courier New" w:cs="Courier New"/>
          <w:b/>
          <w:bCs/>
          <w:color w:val="008080"/>
          <w:sz w:val="20"/>
          <w:szCs w:val="20"/>
          <w:shd w:val="clear" w:color="auto" w:fill="FFFFFF"/>
        </w:rPr>
        <w:t>314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_n_= </w:t>
      </w:r>
      <w:r>
        <w:rPr>
          <w:rFonts w:ascii="Courier New" w:hAnsi="Courier New" w:cs="Courier New"/>
          <w:b/>
          <w:bCs/>
          <w:color w:val="008080"/>
          <w:sz w:val="20"/>
          <w:szCs w:val="20"/>
          <w:shd w:val="clear" w:color="auto" w:fill="FFFFFF"/>
        </w:rPr>
        <w:t>334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_n_= </w:t>
      </w:r>
      <w:r>
        <w:rPr>
          <w:rFonts w:ascii="Courier New" w:hAnsi="Courier New" w:cs="Courier New"/>
          <w:b/>
          <w:bCs/>
          <w:color w:val="008080"/>
          <w:sz w:val="20"/>
          <w:szCs w:val="20"/>
          <w:shd w:val="clear" w:color="auto" w:fill="FFFFFF"/>
        </w:rPr>
        <w:t>250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_n_= </w:t>
      </w:r>
      <w:r>
        <w:rPr>
          <w:rFonts w:ascii="Courier New" w:hAnsi="Courier New" w:cs="Courier New"/>
          <w:b/>
          <w:bCs/>
          <w:color w:val="008080"/>
          <w:sz w:val="20"/>
          <w:szCs w:val="20"/>
          <w:shd w:val="clear" w:color="auto" w:fill="FFFFFF"/>
        </w:rPr>
        <w:t>693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_n_= </w:t>
      </w:r>
      <w:r>
        <w:rPr>
          <w:rFonts w:ascii="Courier New" w:hAnsi="Courier New" w:cs="Courier New"/>
          <w:b/>
          <w:bCs/>
          <w:color w:val="008080"/>
          <w:sz w:val="20"/>
          <w:szCs w:val="20"/>
          <w:shd w:val="clear" w:color="auto" w:fill="FFFFFF"/>
        </w:rPr>
        <w:t>524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pPr>
        <w:pBdr>
          <w:top w:val="single" w:color="auto" w:sz="4" w:space="1"/>
          <w:left w:val="single" w:color="auto" w:sz="4" w:space="4"/>
          <w:bottom w:val="single" w:color="auto" w:sz="4" w:space="1"/>
          <w:right w:val="single" w:color="auto" w:sz="4" w:space="4"/>
        </w:pBdr>
        <w:tabs>
          <w:tab w:val="left" w:pos="2955"/>
        </w:tabs>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pPr>
        <w:spacing w:after="160" w:line="259" w:lineRule="auto"/>
        <w:rPr>
          <w:rFonts w:ascii="Courier New" w:hAnsi="Courier New" w:cs="Courier New"/>
          <w:b/>
          <w:bCs/>
          <w:color w:val="000000"/>
          <w:sz w:val="20"/>
          <w:szCs w:val="20"/>
          <w:shd w:val="clear" w:color="auto" w:fill="FFFFFF"/>
        </w:rPr>
      </w:pPr>
    </w:p>
    <w:p>
      <w:pPr>
        <w:spacing w:after="160" w:line="259" w:lineRule="auto"/>
        <w:rPr>
          <w:rFonts w:ascii="Courier New" w:hAnsi="Courier New" w:cs="Courier New"/>
          <w:b/>
          <w:bCs/>
          <w:color w:val="000000"/>
          <w:sz w:val="20"/>
          <w:szCs w:val="20"/>
          <w:shd w:val="clear" w:color="auto" w:fill="FFFFFF"/>
        </w:rPr>
      </w:pPr>
      <w:r>
        <w:rPr>
          <w:rFonts w:ascii="Courier New" w:hAnsi="Courier New" w:cs="Courier New"/>
          <w:b/>
          <w:bCs/>
          <w:color w:val="000000"/>
          <w:sz w:val="20"/>
          <w:szCs w:val="20"/>
          <w:shd w:val="clear" w:color="auto" w:fill="FFFFFF"/>
        </w:rPr>
        <w:t xml:space="preserve">Plot data </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train_1 plots= </w:t>
      </w:r>
      <w:r>
        <w:rPr>
          <w:rFonts w:ascii="Courier New" w:hAnsi="Courier New" w:cs="Courier New"/>
          <w:color w:val="0000FF"/>
          <w:sz w:val="20"/>
          <w:szCs w:val="20"/>
          <w:shd w:val="clear" w:color="auto" w:fill="FFFFFF"/>
        </w:rPr>
        <w:t>all</w:t>
      </w:r>
      <w:r>
        <w:rPr>
          <w:rFonts w:ascii="Courier New" w:hAnsi="Courier New" w:cs="Courier New"/>
          <w:color w:val="000000"/>
          <w:sz w:val="20"/>
          <w:szCs w:val="20"/>
          <w:shd w:val="clear" w:color="auto" w:fill="FFFFFF"/>
        </w:rPr>
        <w:t>;</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Saleprice = OverallQual GrLivArea BsmtFinSF1 GarageCars MSSubClass YearBuilt BedroomAbvGr OverallCond LotArea TotRmsAbvGrd WoodDeckSF ScreenPorch BsmtFullBath/</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w:t>
      </w:r>
    </w:p>
    <w:p>
      <w:pPr>
        <w:pBdr>
          <w:top w:val="single" w:color="auto" w:sz="4" w:space="1"/>
          <w:left w:val="single" w:color="auto" w:sz="4" w:space="4"/>
          <w:bottom w:val="single" w:color="auto" w:sz="4" w:space="1"/>
          <w:right w:val="single" w:color="auto" w:sz="4" w:space="4"/>
        </w:pBdr>
        <w:spacing w:after="160" w:line="259" w:lineRule="auto"/>
        <w:rPr>
          <w:rFonts w:ascii="Courier New" w:hAnsi="Courier New" w:cs="Courier New"/>
          <w:b/>
          <w:bCs/>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Pr>
          <w:rFonts w:ascii="Courier New" w:hAnsi="Courier New" w:cs="Courier New"/>
          <w:b/>
          <w:bCs/>
          <w:color w:val="000000"/>
          <w:sz w:val="20"/>
          <w:szCs w:val="20"/>
          <w:shd w:val="clear" w:color="auto" w:fill="FFFFFF"/>
        </w:rPr>
        <w:br w:type="page"/>
      </w:r>
    </w:p>
    <w:p>
      <w:pPr>
        <w:tabs>
          <w:tab w:val="left" w:pos="2955"/>
        </w:tabs>
        <w:rPr>
          <w:rFonts w:ascii="Courier New" w:hAnsi="Courier New" w:cs="Courier New"/>
          <w:b/>
          <w:bCs/>
          <w:color w:val="000000"/>
          <w:sz w:val="20"/>
          <w:szCs w:val="20"/>
          <w:shd w:val="clear" w:color="auto" w:fill="FFFFFF"/>
        </w:rPr>
      </w:pPr>
    </w:p>
    <w:p>
      <w:pPr>
        <w:tabs>
          <w:tab w:val="left" w:pos="2955"/>
        </w:tabs>
        <w:rPr>
          <w:rFonts w:ascii="Courier New" w:hAnsi="Courier New" w:cs="Courier New"/>
          <w:b/>
          <w:bCs/>
          <w:color w:val="000000"/>
          <w:sz w:val="20"/>
          <w:szCs w:val="20"/>
          <w:shd w:val="clear" w:color="auto" w:fill="FFFFFF"/>
        </w:rPr>
      </w:pPr>
    </w:p>
    <w:p>
      <w:pPr>
        <w:tabs>
          <w:tab w:val="left" w:pos="2955"/>
        </w:tabs>
        <w:rPr>
          <w:rFonts w:ascii="Courier New" w:hAnsi="Courier New" w:cs="Courier New"/>
          <w:b/>
          <w:bCs/>
          <w:color w:val="000000"/>
          <w:sz w:val="20"/>
          <w:szCs w:val="20"/>
          <w:shd w:val="clear" w:color="auto" w:fill="FFFFFF"/>
        </w:rPr>
      </w:pPr>
      <w:r>
        <w:rPr>
          <w:rFonts w:ascii="Courier New" w:hAnsi="Courier New" w:cs="Courier New"/>
          <w:b/>
          <w:bCs/>
          <w:color w:val="000000"/>
          <w:sz w:val="20"/>
          <w:szCs w:val="20"/>
          <w:shd w:val="clear" w:color="auto" w:fill="FFFFFF"/>
        </w:rPr>
        <w:t>Table 2.1:</w:t>
      </w:r>
    </w:p>
    <w:p>
      <w:pPr>
        <w:tabs>
          <w:tab w:val="left" w:pos="2955"/>
        </w:tabs>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Code to run </w:t>
      </w:r>
      <w:r>
        <w:rPr>
          <w:rFonts w:ascii="Courier New" w:hAnsi="Courier New" w:cs="Courier New"/>
          <w:b/>
          <w:bCs/>
          <w:color w:val="000000"/>
          <w:sz w:val="20"/>
          <w:szCs w:val="20"/>
          <w:shd w:val="clear" w:color="auto" w:fill="FFFFFF"/>
        </w:rPr>
        <w:t>Forward Selection Method</w:t>
      </w:r>
      <w:r>
        <w:rPr>
          <w:rFonts w:ascii="Courier New" w:hAnsi="Courier New" w:cs="Courier New"/>
          <w:color w:val="000000"/>
          <w:sz w:val="20"/>
          <w:szCs w:val="20"/>
          <w:shd w:val="clear" w:color="auto" w:fill="FFFFFF"/>
        </w:rPr>
        <w:t xml:space="preserve"> (Removed the outliers)</w:t>
      </w:r>
    </w:p>
    <w:p>
      <w:pPr>
        <w:tabs>
          <w:tab w:val="left" w:pos="2955"/>
        </w:tabs>
        <w:rPr>
          <w:rFonts w:ascii="Courier New" w:hAnsi="Courier New" w:cs="Courier New"/>
          <w:color w:val="000000"/>
          <w:sz w:val="20"/>
          <w:szCs w:val="20"/>
          <w:shd w:val="clear" w:color="auto" w:fill="FFFFFF"/>
        </w:rPr>
      </w:pPr>
    </w:p>
    <w:p>
      <w:pPr>
        <w:autoSpaceDE w:val="0"/>
        <w:autoSpaceDN w:val="0"/>
        <w:adjustRightInd w:val="0"/>
        <w:rPr>
          <w:rFonts w:ascii="Courier New" w:hAnsi="Courier New" w:cs="Courier New"/>
          <w:color w:val="000000"/>
          <w:sz w:val="20"/>
          <w:szCs w:val="20"/>
          <w:shd w:val="clear" w:color="auto" w:fill="FFFFFF"/>
        </w:rPr>
      </w:pPr>
    </w:p>
    <w:p>
      <w:pPr>
        <w:tabs>
          <w:tab w:val="left" w:pos="2955"/>
        </w:tabs>
      </w:pPr>
    </w:p>
    <w:p>
      <w:pPr>
        <w:pBdr>
          <w:top w:val="single" w:color="auto" w:sz="4" w:space="1"/>
          <w:left w:val="single" w:color="auto" w:sz="4" w:space="4"/>
          <w:bottom w:val="single" w:color="auto" w:sz="4" w:space="1"/>
          <w:right w:val="single" w:color="auto" w:sz="4" w:space="4"/>
        </w:pBdr>
        <w:tabs>
          <w:tab w:val="left" w:pos="2955"/>
        </w:tabs>
      </w:pPr>
      <w:r>
        <w:t>/* Run code to for forward Predication Model*/</w:t>
      </w:r>
    </w:p>
    <w:p>
      <w:pPr>
        <w:pBdr>
          <w:top w:val="single" w:color="auto" w:sz="4" w:space="1"/>
          <w:left w:val="single" w:color="auto" w:sz="4" w:space="4"/>
          <w:bottom w:val="single" w:color="auto" w:sz="4" w:space="1"/>
          <w:right w:val="single" w:color="auto" w:sz="4" w:space="4"/>
        </w:pBdr>
        <w:tabs>
          <w:tab w:val="left" w:pos="2955"/>
        </w:tabs>
      </w:pPr>
      <w:r>
        <w:t>proc glmselect data = train;</w:t>
      </w:r>
    </w:p>
    <w:p>
      <w:pPr>
        <w:pBdr>
          <w:top w:val="single" w:color="auto" w:sz="4" w:space="1"/>
          <w:left w:val="single" w:color="auto" w:sz="4" w:space="4"/>
          <w:bottom w:val="single" w:color="auto" w:sz="4" w:space="1"/>
          <w:right w:val="single" w:color="auto" w:sz="4" w:space="4"/>
        </w:pBdr>
        <w:tabs>
          <w:tab w:val="left" w:pos="2955"/>
        </w:tabs>
      </w:pPr>
      <w:r>
        <w:t>model SalePrice = MSSubClass LotArea OverallQual OverallCond YearBuilt YearRemodAdd BsmtFinSF1</w:t>
      </w:r>
      <w:r>
        <w:tab/>
      </w:r>
      <w:r>
        <w:t>BsmtFinSF2 BsmtUnfSF TotalBsmtSF LowQualFinSF GrLivArea BsmtFullBath BsmtHalfBath FullBath HalfBath BedroomAbvGr KitchenAbvGr TotRmsAbvGrd Fireplaces GarageCars GarageArea WoodDeckSF OpenPorchSF EnclosedPorch ScreenPorch PoolArea MiscVal MoSold YrSold FstFlrSF SndFlrSF TSsnPorch</w:t>
      </w:r>
    </w:p>
    <w:p>
      <w:pPr>
        <w:pBdr>
          <w:top w:val="single" w:color="auto" w:sz="4" w:space="1"/>
          <w:left w:val="single" w:color="auto" w:sz="4" w:space="4"/>
          <w:bottom w:val="single" w:color="auto" w:sz="4" w:space="1"/>
          <w:right w:val="single" w:color="auto" w:sz="4" w:space="4"/>
        </w:pBdr>
        <w:tabs>
          <w:tab w:val="left" w:pos="2955"/>
        </w:tabs>
      </w:pPr>
    </w:p>
    <w:p>
      <w:pPr>
        <w:pBdr>
          <w:top w:val="single" w:color="auto" w:sz="4" w:space="1"/>
          <w:left w:val="single" w:color="auto" w:sz="4" w:space="4"/>
          <w:bottom w:val="single" w:color="auto" w:sz="4" w:space="1"/>
          <w:right w:val="single" w:color="auto" w:sz="4" w:space="4"/>
        </w:pBdr>
        <w:tabs>
          <w:tab w:val="left" w:pos="2955"/>
        </w:tabs>
      </w:pPr>
      <w:r>
        <w:t>/ selection = forward (stop = cv) cvmethod = random(5) stats= adjrsq;</w:t>
      </w:r>
    </w:p>
    <w:p>
      <w:pPr>
        <w:pBdr>
          <w:top w:val="single" w:color="auto" w:sz="4" w:space="1"/>
          <w:left w:val="single" w:color="auto" w:sz="4" w:space="4"/>
          <w:bottom w:val="single" w:color="auto" w:sz="4" w:space="1"/>
          <w:right w:val="single" w:color="auto" w:sz="4" w:space="4"/>
        </w:pBdr>
        <w:tabs>
          <w:tab w:val="left" w:pos="2955"/>
        </w:tabs>
      </w:pPr>
      <w:r>
        <w:t>run;</w:t>
      </w:r>
    </w:p>
    <w:p>
      <w:pPr>
        <w:pBdr>
          <w:top w:val="single" w:color="auto" w:sz="4" w:space="1"/>
          <w:left w:val="single" w:color="auto" w:sz="4" w:space="4"/>
          <w:bottom w:val="single" w:color="auto" w:sz="4" w:space="1"/>
          <w:right w:val="single" w:color="auto" w:sz="4" w:space="4"/>
        </w:pBdr>
        <w:spacing w:after="160" w:line="259" w:lineRule="auto"/>
      </w:pPr>
      <w:r>
        <w:t>Out Put of Forward Predicative Model code</w:t>
      </w:r>
    </w:p>
    <w:p>
      <w:pPr>
        <w:tabs>
          <w:tab w:val="left" w:pos="2955"/>
        </w:tabs>
      </w:pPr>
    </w:p>
    <w:p>
      <w:pPr>
        <w:tabs>
          <w:tab w:val="left" w:pos="2955"/>
        </w:tabs>
      </w:pPr>
    </w:p>
    <w:p>
      <w:pPr>
        <w:tabs>
          <w:tab w:val="left" w:pos="2955"/>
        </w:tabs>
      </w:pPr>
      <w:r>
        <w:drawing>
          <wp:inline distT="0" distB="0" distL="0" distR="0">
            <wp:extent cx="5734685" cy="3581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60156" cy="3597246"/>
                    </a:xfrm>
                    <a:prstGeom prst="rect">
                      <a:avLst/>
                    </a:prstGeom>
                    <a:noFill/>
                  </pic:spPr>
                </pic:pic>
              </a:graphicData>
            </a:graphic>
          </wp:inline>
        </w:drawing>
      </w:r>
    </w:p>
    <w:p>
      <w:pPr>
        <w:tabs>
          <w:tab w:val="left" w:pos="2955"/>
        </w:tabs>
      </w:pPr>
    </w:p>
    <w:p>
      <w:pPr>
        <w:tabs>
          <w:tab w:val="left" w:pos="2955"/>
        </w:tabs>
      </w:pPr>
    </w:p>
    <w:p>
      <w:pPr>
        <w:tabs>
          <w:tab w:val="left" w:pos="2955"/>
        </w:tabs>
      </w:pPr>
    </w:p>
    <w:p>
      <w:pPr>
        <w:tabs>
          <w:tab w:val="left" w:pos="2955"/>
        </w:tabs>
      </w:pPr>
    </w:p>
    <w:p>
      <w:pPr>
        <w:spacing w:after="160" w:line="259" w:lineRule="auto"/>
      </w:pPr>
      <w:r>
        <w:br w:type="page"/>
      </w:r>
    </w:p>
    <w:p>
      <w:pPr>
        <w:tabs>
          <w:tab w:val="left" w:pos="2955"/>
        </w:tabs>
        <w:rPr>
          <w:rFonts w:ascii="Courier New" w:hAnsi="Courier New" w:cs="Courier New"/>
          <w:b/>
          <w:bCs/>
          <w:color w:val="000000"/>
          <w:sz w:val="20"/>
          <w:szCs w:val="20"/>
          <w:shd w:val="clear" w:color="auto" w:fill="FFFFFF"/>
        </w:rPr>
      </w:pPr>
      <w:r>
        <w:rPr>
          <w:rFonts w:ascii="Courier New" w:hAnsi="Courier New" w:cs="Courier New"/>
          <w:b/>
          <w:bCs/>
          <w:color w:val="000000"/>
          <w:sz w:val="20"/>
          <w:szCs w:val="20"/>
          <w:shd w:val="clear" w:color="auto" w:fill="FFFFFF"/>
        </w:rPr>
        <w:t>Table 2.2</w:t>
      </w:r>
    </w:p>
    <w:p>
      <w:pPr>
        <w:tabs>
          <w:tab w:val="left" w:pos="2955"/>
        </w:tabs>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Code to run </w:t>
      </w:r>
      <w:r>
        <w:rPr>
          <w:rFonts w:ascii="Courier New" w:hAnsi="Courier New" w:cs="Courier New"/>
          <w:b/>
          <w:bCs/>
          <w:color w:val="000000"/>
          <w:sz w:val="20"/>
          <w:szCs w:val="20"/>
          <w:shd w:val="clear" w:color="auto" w:fill="FFFFFF"/>
        </w:rPr>
        <w:t>Backward Selection Method</w:t>
      </w:r>
      <w:r>
        <w:rPr>
          <w:rFonts w:ascii="Courier New" w:hAnsi="Courier New" w:cs="Courier New"/>
          <w:color w:val="000000"/>
          <w:sz w:val="20"/>
          <w:szCs w:val="20"/>
          <w:shd w:val="clear" w:color="auto" w:fill="FFFFFF"/>
        </w:rPr>
        <w:t xml:space="preserve"> (Removed the outliers)</w:t>
      </w:r>
    </w:p>
    <w:p>
      <w:pPr>
        <w:tabs>
          <w:tab w:val="left" w:pos="2955"/>
        </w:tabs>
        <w:rPr>
          <w:rFonts w:ascii="Courier New" w:hAnsi="Courier New" w:cs="Courier New"/>
          <w:color w:val="000000"/>
          <w:sz w:val="20"/>
          <w:szCs w:val="20"/>
          <w:shd w:val="clear" w:color="auto" w:fill="FFFFFF"/>
        </w:rPr>
      </w:pP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Run code to for Backward Prediction Model*/</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glmselect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train;</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SalePrice = MSSubClass LotArea OverallQual OverallCond YearBuilt YearRemodAdd BsmtFinSF1</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BsmtFinSF2 BsmtUnfSF TotalBsmtSF LowQualFinSF GrLivArea BsmtFullBath BsmtHalfBath FullBath HalfBath BedroomAbvGr KitchenAbvGr TotRmsAbvGrd Fireplaces GarageCars GarageArea WoodDeckSF OpenPorchSF EnclosedPorch ScreenPorch PoolArea MiscVal MoSold YrSold FstFlrSF SndFlrSF TSsnPorch</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backward (</w:t>
      </w:r>
      <w:r>
        <w:rPr>
          <w:rFonts w:ascii="Courier New" w:hAnsi="Courier New" w:cs="Courier New"/>
          <w:color w:val="0000FF"/>
          <w:sz w:val="20"/>
          <w:szCs w:val="20"/>
          <w:shd w:val="clear" w:color="auto" w:fill="FFFFFF"/>
        </w:rPr>
        <w:t>stop</w:t>
      </w:r>
      <w:r>
        <w:rPr>
          <w:rFonts w:ascii="Courier New" w:hAnsi="Courier New" w:cs="Courier New"/>
          <w:color w:val="000000"/>
          <w:sz w:val="20"/>
          <w:szCs w:val="20"/>
          <w:shd w:val="clear" w:color="auto" w:fill="FFFFFF"/>
        </w:rPr>
        <w:t xml:space="preserve"> = cv) </w:t>
      </w:r>
      <w:r>
        <w:rPr>
          <w:rFonts w:ascii="Courier New" w:hAnsi="Courier New" w:cs="Courier New"/>
          <w:color w:val="0000FF"/>
          <w:sz w:val="20"/>
          <w:szCs w:val="20"/>
          <w:shd w:val="clear" w:color="auto" w:fill="FFFFFF"/>
        </w:rPr>
        <w:t>cvmethod</w:t>
      </w:r>
      <w:r>
        <w:rPr>
          <w:rFonts w:ascii="Courier New" w:hAnsi="Courier New" w:cs="Courier New"/>
          <w:color w:val="000000"/>
          <w:sz w:val="20"/>
          <w:szCs w:val="20"/>
          <w:shd w:val="clear" w:color="auto" w:fill="FFFFFF"/>
        </w:rPr>
        <w:t xml:space="preserve"> = random(</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stats</w:t>
      </w:r>
      <w:r>
        <w:rPr>
          <w:rFonts w:ascii="Courier New" w:hAnsi="Courier New" w:cs="Courier New"/>
          <w:color w:val="000000"/>
          <w:sz w:val="20"/>
          <w:szCs w:val="20"/>
          <w:shd w:val="clear" w:color="auto" w:fill="FFFFFF"/>
        </w:rPr>
        <w:t>= adjrsq;</w:t>
      </w:r>
    </w:p>
    <w:p>
      <w:pPr>
        <w:pBdr>
          <w:top w:val="single" w:color="auto" w:sz="4" w:space="1"/>
          <w:left w:val="single" w:color="auto" w:sz="4" w:space="4"/>
          <w:bottom w:val="single" w:color="auto" w:sz="4" w:space="1"/>
          <w:right w:val="single" w:color="auto" w:sz="4" w:space="4"/>
        </w:pBdr>
        <w:tabs>
          <w:tab w:val="left" w:pos="2955"/>
        </w:tabs>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pPr>
        <w:tabs>
          <w:tab w:val="left" w:pos="2955"/>
        </w:tabs>
        <w:rPr>
          <w:rFonts w:ascii="Courier New" w:hAnsi="Courier New" w:cs="Courier New"/>
          <w:color w:val="000000"/>
          <w:sz w:val="20"/>
          <w:szCs w:val="20"/>
          <w:shd w:val="clear" w:color="auto" w:fill="FFFFFF"/>
        </w:rPr>
      </w:pPr>
    </w:p>
    <w:p>
      <w:pPr>
        <w:tabs>
          <w:tab w:val="left" w:pos="2955"/>
        </w:tabs>
        <w:rPr>
          <w:rFonts w:ascii="Courier New" w:hAnsi="Courier New" w:cs="Courier New"/>
          <w:color w:val="000000"/>
          <w:sz w:val="20"/>
          <w:szCs w:val="20"/>
          <w:shd w:val="clear" w:color="auto" w:fill="FFFFFF"/>
        </w:rPr>
      </w:pPr>
    </w:p>
    <w:p>
      <w:pPr>
        <w:tabs>
          <w:tab w:val="left" w:pos="2955"/>
        </w:tabs>
        <w:rPr>
          <w:b/>
          <w:bCs/>
          <w:u w:val="single"/>
        </w:rPr>
      </w:pPr>
      <w:r>
        <w:rPr>
          <w:b/>
          <w:bCs/>
          <w:u w:val="single"/>
        </w:rPr>
        <w:t>Out Put of Backward Selection Method</w:t>
      </w:r>
    </w:p>
    <w:p>
      <w:pPr>
        <w:tabs>
          <w:tab w:val="left" w:pos="2955"/>
        </w:tabs>
        <w:rPr>
          <w:rFonts w:ascii="Courier New" w:hAnsi="Courier New" w:cs="Courier New"/>
          <w:color w:val="000000"/>
          <w:sz w:val="20"/>
          <w:szCs w:val="20"/>
          <w:shd w:val="clear" w:color="auto" w:fill="FFFFFF"/>
        </w:rPr>
      </w:pPr>
    </w:p>
    <w:p>
      <w:pPr>
        <w:tabs>
          <w:tab w:val="left" w:pos="2955"/>
        </w:tabs>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drawing>
          <wp:inline distT="0" distB="0" distL="0" distR="0">
            <wp:extent cx="6165850" cy="364553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200184" cy="3665718"/>
                    </a:xfrm>
                    <a:prstGeom prst="rect">
                      <a:avLst/>
                    </a:prstGeom>
                    <a:noFill/>
                  </pic:spPr>
                </pic:pic>
              </a:graphicData>
            </a:graphic>
          </wp:inline>
        </w:drawing>
      </w:r>
    </w:p>
    <w:p>
      <w:pPr>
        <w:tabs>
          <w:tab w:val="left" w:pos="2955"/>
        </w:tabs>
        <w:rPr>
          <w:rFonts w:ascii="Courier New" w:hAnsi="Courier New" w:cs="Courier New"/>
          <w:color w:val="000000"/>
          <w:sz w:val="20"/>
          <w:szCs w:val="20"/>
          <w:shd w:val="clear" w:color="auto" w:fill="FFFFFF"/>
        </w:rPr>
      </w:pPr>
    </w:p>
    <w:p>
      <w:pPr>
        <w:tabs>
          <w:tab w:val="left" w:pos="2955"/>
        </w:tabs>
        <w:rPr>
          <w:rFonts w:ascii="Courier New" w:hAnsi="Courier New" w:cs="Courier New"/>
          <w:color w:val="000000"/>
          <w:sz w:val="20"/>
          <w:szCs w:val="20"/>
          <w:shd w:val="clear" w:color="auto" w:fill="FFFFFF"/>
        </w:rPr>
      </w:pPr>
    </w:p>
    <w:p>
      <w:pPr>
        <w:tabs>
          <w:tab w:val="left" w:pos="2955"/>
        </w:tabs>
      </w:pPr>
    </w:p>
    <w:p>
      <w:pPr>
        <w:tabs>
          <w:tab w:val="left" w:pos="2955"/>
        </w:tabs>
      </w:pPr>
    </w:p>
    <w:p>
      <w:pPr>
        <w:tabs>
          <w:tab w:val="left" w:pos="2955"/>
        </w:tabs>
      </w:pPr>
    </w:p>
    <w:p>
      <w:pPr>
        <w:spacing w:after="160" w:line="259" w:lineRule="auto"/>
      </w:pPr>
      <w:r>
        <w:br w:type="page"/>
      </w:r>
    </w:p>
    <w:p>
      <w:pPr>
        <w:tabs>
          <w:tab w:val="left" w:pos="2955"/>
        </w:tabs>
        <w:rPr>
          <w:rFonts w:ascii="Courier New" w:hAnsi="Courier New" w:cs="Courier New"/>
          <w:b/>
          <w:bCs/>
          <w:color w:val="000000"/>
          <w:sz w:val="20"/>
          <w:szCs w:val="20"/>
          <w:shd w:val="clear" w:color="auto" w:fill="FFFFFF"/>
        </w:rPr>
      </w:pPr>
      <w:r>
        <w:rPr>
          <w:rFonts w:ascii="Courier New" w:hAnsi="Courier New" w:cs="Courier New"/>
          <w:b/>
          <w:bCs/>
          <w:color w:val="000000"/>
          <w:sz w:val="20"/>
          <w:szCs w:val="20"/>
          <w:shd w:val="clear" w:color="auto" w:fill="FFFFFF"/>
        </w:rPr>
        <w:t>Table 2.3</w:t>
      </w:r>
    </w:p>
    <w:p>
      <w:pPr>
        <w:tabs>
          <w:tab w:val="left" w:pos="2955"/>
        </w:tabs>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Code to run </w:t>
      </w:r>
      <w:r>
        <w:rPr>
          <w:rFonts w:ascii="Courier New" w:hAnsi="Courier New" w:cs="Courier New"/>
          <w:b/>
          <w:bCs/>
          <w:color w:val="000000"/>
          <w:sz w:val="20"/>
          <w:szCs w:val="20"/>
          <w:shd w:val="clear" w:color="auto" w:fill="FFFFFF"/>
        </w:rPr>
        <w:t>Stepwise selection method</w:t>
      </w:r>
      <w:r>
        <w:rPr>
          <w:rFonts w:ascii="Courier New" w:hAnsi="Courier New" w:cs="Courier New"/>
          <w:color w:val="000000"/>
          <w:sz w:val="20"/>
          <w:szCs w:val="20"/>
          <w:shd w:val="clear" w:color="auto" w:fill="FFFFFF"/>
        </w:rPr>
        <w:t xml:space="preserve"> (Removed the outliers)</w:t>
      </w:r>
    </w:p>
    <w:p>
      <w:pPr>
        <w:tabs>
          <w:tab w:val="left" w:pos="2955"/>
        </w:tabs>
        <w:rPr>
          <w:rFonts w:ascii="Courier New" w:hAnsi="Courier New" w:cs="Courier New"/>
          <w:color w:val="000000"/>
          <w:sz w:val="20"/>
          <w:szCs w:val="20"/>
          <w:shd w:val="clear" w:color="auto" w:fill="FFFFFF"/>
        </w:rPr>
      </w:pPr>
    </w:p>
    <w:p>
      <w:pPr>
        <w:autoSpaceDE w:val="0"/>
        <w:autoSpaceDN w:val="0"/>
        <w:adjustRightInd w:val="0"/>
        <w:rPr>
          <w:rFonts w:ascii="Courier New" w:hAnsi="Courier New" w:cs="Courier New"/>
          <w:color w:val="000000"/>
          <w:sz w:val="20"/>
          <w:szCs w:val="20"/>
          <w:shd w:val="clear" w:color="auto" w:fill="FFFFFF"/>
        </w:rPr>
      </w:pP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glmselect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train;</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SalePrice = MSSubClass LotArea OverallQual OverallCond YearBuilt YearRemodAdd BsmtFinSF1</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BsmtFinSF2 BsmtUnfSF TotalBsmtSF LowQualFinSF GrLivArea BsmtFullBath BsmtHalfBath FullBath HalfBath BedroomAbvGr KitchenAbvGr TotRmsAbvGrd Fireplaces GarageCars GarageArea WoodDeckSF OpenPorchSF EnclosedPorch ScreenPorch PoolArea MiscVal MoSold YrSold FstFlrSF SndFlrSF TSsnPorch</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 (</w:t>
      </w:r>
      <w:r>
        <w:rPr>
          <w:rFonts w:ascii="Courier New" w:hAnsi="Courier New" w:cs="Courier New"/>
          <w:color w:val="0000FF"/>
          <w:sz w:val="20"/>
          <w:szCs w:val="20"/>
          <w:shd w:val="clear" w:color="auto" w:fill="FFFFFF"/>
        </w:rPr>
        <w:t>stop</w:t>
      </w:r>
      <w:r>
        <w:rPr>
          <w:rFonts w:ascii="Courier New" w:hAnsi="Courier New" w:cs="Courier New"/>
          <w:color w:val="000000"/>
          <w:sz w:val="20"/>
          <w:szCs w:val="20"/>
          <w:shd w:val="clear" w:color="auto" w:fill="FFFFFF"/>
        </w:rPr>
        <w:t xml:space="preserve"> = cv) </w:t>
      </w:r>
      <w:r>
        <w:rPr>
          <w:rFonts w:ascii="Courier New" w:hAnsi="Courier New" w:cs="Courier New"/>
          <w:color w:val="0000FF"/>
          <w:sz w:val="20"/>
          <w:szCs w:val="20"/>
          <w:shd w:val="clear" w:color="auto" w:fill="FFFFFF"/>
        </w:rPr>
        <w:t>cvmethod</w:t>
      </w:r>
      <w:r>
        <w:rPr>
          <w:rFonts w:ascii="Courier New" w:hAnsi="Courier New" w:cs="Courier New"/>
          <w:color w:val="000000"/>
          <w:sz w:val="20"/>
          <w:szCs w:val="20"/>
          <w:shd w:val="clear" w:color="auto" w:fill="FFFFFF"/>
        </w:rPr>
        <w:t xml:space="preserve"> = random(</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stats</w:t>
      </w:r>
      <w:r>
        <w:rPr>
          <w:rFonts w:ascii="Courier New" w:hAnsi="Courier New" w:cs="Courier New"/>
          <w:color w:val="000000"/>
          <w:sz w:val="20"/>
          <w:szCs w:val="20"/>
          <w:shd w:val="clear" w:color="auto" w:fill="FFFFFF"/>
        </w:rPr>
        <w:t>= adjrsq;</w:t>
      </w:r>
    </w:p>
    <w:p>
      <w:pPr>
        <w:pBdr>
          <w:top w:val="single" w:color="auto" w:sz="4" w:space="1"/>
          <w:left w:val="single" w:color="auto" w:sz="4" w:space="4"/>
          <w:bottom w:val="single" w:color="auto" w:sz="4" w:space="1"/>
          <w:right w:val="single" w:color="auto" w:sz="4" w:space="4"/>
        </w:pBdr>
        <w:tabs>
          <w:tab w:val="left" w:pos="2955"/>
        </w:tabs>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pPr>
        <w:tabs>
          <w:tab w:val="left" w:pos="2955"/>
        </w:tabs>
        <w:rPr>
          <w:rFonts w:ascii="Courier New" w:hAnsi="Courier New" w:cs="Courier New"/>
          <w:color w:val="000000"/>
          <w:sz w:val="20"/>
          <w:szCs w:val="20"/>
          <w:shd w:val="clear" w:color="auto" w:fill="FFFFFF"/>
        </w:rPr>
      </w:pPr>
    </w:p>
    <w:p>
      <w:pPr>
        <w:tabs>
          <w:tab w:val="left" w:pos="2955"/>
        </w:tabs>
        <w:rPr>
          <w:b/>
          <w:bCs/>
          <w:u w:val="single"/>
        </w:rPr>
      </w:pPr>
      <w:r>
        <w:rPr>
          <w:b/>
          <w:bCs/>
          <w:u w:val="single"/>
        </w:rPr>
        <w:t>Output of Stepwise Selection Method</w:t>
      </w:r>
    </w:p>
    <w:p>
      <w:pPr>
        <w:tabs>
          <w:tab w:val="left" w:pos="2955"/>
        </w:tabs>
        <w:rPr>
          <w:rFonts w:ascii="Courier New" w:hAnsi="Courier New" w:cs="Courier New"/>
          <w:color w:val="000000"/>
          <w:sz w:val="20"/>
          <w:szCs w:val="20"/>
          <w:shd w:val="clear" w:color="auto" w:fill="FFFFFF"/>
        </w:rPr>
      </w:pPr>
    </w:p>
    <w:p>
      <w:pPr>
        <w:tabs>
          <w:tab w:val="left" w:pos="2955"/>
        </w:tabs>
        <w:rPr>
          <w:rFonts w:ascii="Courier New" w:hAnsi="Courier New" w:cs="Courier New"/>
          <w:b/>
          <w:bCs/>
          <w:color w:val="000000"/>
          <w:sz w:val="20"/>
          <w:szCs w:val="20"/>
          <w:shd w:val="clear" w:color="auto" w:fill="FFFFFF"/>
        </w:rPr>
      </w:pPr>
    </w:p>
    <w:p>
      <w:pPr>
        <w:tabs>
          <w:tab w:val="left" w:pos="2955"/>
        </w:tabs>
        <w:rPr>
          <w:rFonts w:ascii="Courier New" w:hAnsi="Courier New" w:cs="Courier New"/>
          <w:b/>
          <w:bCs/>
          <w:color w:val="000000"/>
          <w:sz w:val="20"/>
          <w:szCs w:val="20"/>
          <w:shd w:val="clear" w:color="auto" w:fill="FFFFFF"/>
        </w:rPr>
      </w:pPr>
      <w:r>
        <w:rPr>
          <w:rFonts w:ascii="Courier New" w:hAnsi="Courier New" w:cs="Courier New"/>
          <w:b/>
          <w:bCs/>
          <w:color w:val="000000"/>
          <w:sz w:val="20"/>
          <w:szCs w:val="20"/>
          <w:shd w:val="clear" w:color="auto" w:fill="FFFFFF"/>
        </w:rPr>
        <w:drawing>
          <wp:inline distT="0" distB="0" distL="0" distR="0">
            <wp:extent cx="6681470" cy="395033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709272" cy="3966705"/>
                    </a:xfrm>
                    <a:prstGeom prst="rect">
                      <a:avLst/>
                    </a:prstGeom>
                    <a:noFill/>
                  </pic:spPr>
                </pic:pic>
              </a:graphicData>
            </a:graphic>
          </wp:inline>
        </w:drawing>
      </w:r>
    </w:p>
    <w:p>
      <w:pPr>
        <w:tabs>
          <w:tab w:val="left" w:pos="2955"/>
        </w:tabs>
        <w:rPr>
          <w:rFonts w:ascii="Courier New" w:hAnsi="Courier New" w:cs="Courier New"/>
          <w:b/>
          <w:bCs/>
          <w:color w:val="000000"/>
          <w:sz w:val="20"/>
          <w:szCs w:val="20"/>
          <w:shd w:val="clear" w:color="auto" w:fill="FFFFFF"/>
        </w:rPr>
      </w:pPr>
    </w:p>
    <w:p>
      <w:pPr>
        <w:tabs>
          <w:tab w:val="left" w:pos="2955"/>
        </w:tabs>
        <w:rPr>
          <w:rFonts w:ascii="Courier New" w:hAnsi="Courier New" w:cs="Courier New"/>
          <w:b/>
          <w:bCs/>
          <w:color w:val="000000"/>
          <w:sz w:val="20"/>
          <w:szCs w:val="20"/>
          <w:shd w:val="clear" w:color="auto" w:fill="FFFFFF"/>
        </w:rPr>
      </w:pPr>
    </w:p>
    <w:p>
      <w:pPr>
        <w:tabs>
          <w:tab w:val="left" w:pos="2955"/>
        </w:tabs>
        <w:rPr>
          <w:rFonts w:ascii="Courier New" w:hAnsi="Courier New" w:cs="Courier New"/>
          <w:b/>
          <w:bCs/>
          <w:color w:val="000000"/>
          <w:sz w:val="20"/>
          <w:szCs w:val="20"/>
          <w:shd w:val="clear" w:color="auto" w:fill="FFFFFF"/>
        </w:rPr>
      </w:pPr>
    </w:p>
    <w:p>
      <w:pPr>
        <w:spacing w:after="160" w:line="259" w:lineRule="auto"/>
        <w:rPr>
          <w:rFonts w:ascii="Courier New" w:hAnsi="Courier New" w:cs="Courier New"/>
          <w:b/>
          <w:bCs/>
          <w:color w:val="000000"/>
          <w:sz w:val="20"/>
          <w:szCs w:val="20"/>
          <w:shd w:val="clear" w:color="auto" w:fill="FFFFFF"/>
        </w:rPr>
      </w:pPr>
      <w:r>
        <w:rPr>
          <w:rFonts w:ascii="Courier New" w:hAnsi="Courier New" w:cs="Courier New"/>
          <w:b/>
          <w:bCs/>
          <w:color w:val="000000"/>
          <w:sz w:val="20"/>
          <w:szCs w:val="20"/>
          <w:shd w:val="clear" w:color="auto" w:fill="FFFFFF"/>
        </w:rPr>
        <w:br w:type="page"/>
      </w:r>
    </w:p>
    <w:p>
      <w:pPr>
        <w:tabs>
          <w:tab w:val="left" w:pos="2955"/>
        </w:tabs>
        <w:rPr>
          <w:rFonts w:ascii="Courier New" w:hAnsi="Courier New" w:cs="Courier New"/>
          <w:b/>
          <w:bCs/>
          <w:color w:val="000000"/>
          <w:sz w:val="20"/>
          <w:szCs w:val="20"/>
          <w:shd w:val="clear" w:color="auto" w:fill="FFFFFF"/>
        </w:rPr>
      </w:pPr>
    </w:p>
    <w:p>
      <w:pPr>
        <w:tabs>
          <w:tab w:val="left" w:pos="2955"/>
        </w:tabs>
        <w:rPr>
          <w:rFonts w:ascii="Courier New" w:hAnsi="Courier New" w:cs="Courier New"/>
          <w:b/>
          <w:bCs/>
          <w:color w:val="000000"/>
          <w:sz w:val="20"/>
          <w:szCs w:val="20"/>
          <w:shd w:val="clear" w:color="auto" w:fill="FFFFFF"/>
        </w:rPr>
      </w:pPr>
    </w:p>
    <w:p>
      <w:pPr>
        <w:tabs>
          <w:tab w:val="left" w:pos="2955"/>
        </w:tabs>
        <w:rPr>
          <w:rFonts w:ascii="Courier New" w:hAnsi="Courier New" w:cs="Courier New"/>
          <w:b/>
          <w:bCs/>
          <w:color w:val="000000"/>
          <w:sz w:val="20"/>
          <w:szCs w:val="20"/>
          <w:shd w:val="clear" w:color="auto" w:fill="FFFFFF"/>
        </w:rPr>
      </w:pPr>
    </w:p>
    <w:p>
      <w:pPr>
        <w:tabs>
          <w:tab w:val="left" w:pos="2955"/>
        </w:tabs>
        <w:rPr>
          <w:rFonts w:ascii="Courier New" w:hAnsi="Courier New" w:cs="Courier New"/>
          <w:b/>
          <w:bCs/>
          <w:color w:val="000000"/>
          <w:sz w:val="20"/>
          <w:szCs w:val="20"/>
          <w:shd w:val="clear" w:color="auto" w:fill="FFFFFF"/>
        </w:rPr>
      </w:pPr>
    </w:p>
    <w:p>
      <w:pPr>
        <w:tabs>
          <w:tab w:val="left" w:pos="2955"/>
        </w:tabs>
        <w:rPr>
          <w:rFonts w:ascii="Courier New" w:hAnsi="Courier New" w:cs="Courier New"/>
          <w:b/>
          <w:bCs/>
          <w:color w:val="000000"/>
          <w:sz w:val="20"/>
          <w:szCs w:val="20"/>
          <w:shd w:val="clear" w:color="auto" w:fill="FFFFFF"/>
        </w:rPr>
      </w:pPr>
      <w:r>
        <w:rPr>
          <w:rFonts w:ascii="Courier New" w:hAnsi="Courier New" w:cs="Courier New"/>
          <w:b/>
          <w:bCs/>
          <w:color w:val="000000"/>
          <w:sz w:val="20"/>
          <w:szCs w:val="20"/>
          <w:shd w:val="clear" w:color="auto" w:fill="FFFFFF"/>
        </w:rPr>
        <w:t>Table 2.4</w:t>
      </w:r>
    </w:p>
    <w:p>
      <w:pPr>
        <w:tabs>
          <w:tab w:val="left" w:pos="2955"/>
        </w:tabs>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Code to run </w:t>
      </w:r>
      <w:r>
        <w:rPr>
          <w:rFonts w:ascii="Courier New" w:hAnsi="Courier New" w:cs="Courier New"/>
          <w:b/>
          <w:bCs/>
          <w:color w:val="000000"/>
          <w:sz w:val="20"/>
          <w:szCs w:val="20"/>
          <w:shd w:val="clear" w:color="auto" w:fill="FFFFFF"/>
        </w:rPr>
        <w:t>stepwise selection method</w:t>
      </w:r>
      <w:r>
        <w:rPr>
          <w:rFonts w:ascii="Courier New" w:hAnsi="Courier New" w:cs="Courier New"/>
          <w:color w:val="000000"/>
          <w:sz w:val="20"/>
          <w:szCs w:val="20"/>
          <w:shd w:val="clear" w:color="auto" w:fill="FFFFFF"/>
        </w:rPr>
        <w:t xml:space="preserve"> for </w:t>
      </w:r>
      <w:r>
        <w:rPr>
          <w:rFonts w:ascii="Courier New" w:hAnsi="Courier New" w:cs="Courier New"/>
          <w:color w:val="000000"/>
          <w:sz w:val="20"/>
          <w:szCs w:val="20"/>
          <w:u w:val="single"/>
          <w:shd w:val="clear" w:color="auto" w:fill="FFFFFF"/>
        </w:rPr>
        <w:t>Custom Model</w:t>
      </w:r>
      <w:r>
        <w:rPr>
          <w:rFonts w:ascii="Courier New" w:hAnsi="Courier New" w:cs="Courier New"/>
          <w:color w:val="000000"/>
          <w:sz w:val="20"/>
          <w:szCs w:val="20"/>
          <w:shd w:val="clear" w:color="auto" w:fill="FFFFFF"/>
        </w:rPr>
        <w:t xml:space="preserve"> (Removed the outliers)</w:t>
      </w:r>
    </w:p>
    <w:p>
      <w:pPr>
        <w:tabs>
          <w:tab w:val="left" w:pos="2955"/>
        </w:tabs>
        <w:rPr>
          <w:rFonts w:ascii="Courier New" w:hAnsi="Courier New" w:cs="Courier New"/>
          <w:color w:val="000000"/>
          <w:sz w:val="20"/>
          <w:szCs w:val="20"/>
          <w:shd w:val="clear" w:color="auto" w:fill="FFFFFF"/>
        </w:rPr>
      </w:pP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Run step model with quantification*/</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glmselect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=train;</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SalePrice = MSSubClass LotArea OverallQual OverallCond YearBuilt YearRemodAdd BsmtFinSF1 TotalBsmtSF GrLivArea BedroomAbvGr KitchenAbvGr TotRmsAbvGrd GarageArea ScreenPorch LotShapeQ LotConfigQ NeighborhoodQ Condition1Q HouseStyleQ RoofStyleQ RoofMatlQ Exterior1stQ Exterior2ndQ MasVnrTypeQ ExterQualQ ExterCondQ FoundationQ HeatingQ HeatingQCQ KitchenQualQ FunctionalQ FireplaceQuQ GarageTypeQ GarageFinishQ GarageQualQ GarageCondQ PavedDriveQ PoolQCQ MiscFeatureQ SaleTypeQ SaleConditionQ</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 (</w:t>
      </w:r>
      <w:r>
        <w:rPr>
          <w:rFonts w:ascii="Courier New" w:hAnsi="Courier New" w:cs="Courier New"/>
          <w:color w:val="0000FF"/>
          <w:sz w:val="20"/>
          <w:szCs w:val="20"/>
          <w:shd w:val="clear" w:color="auto" w:fill="FFFFFF"/>
        </w:rPr>
        <w:t>stop</w:t>
      </w:r>
      <w:r>
        <w:rPr>
          <w:rFonts w:ascii="Courier New" w:hAnsi="Courier New" w:cs="Courier New"/>
          <w:color w:val="000000"/>
          <w:sz w:val="20"/>
          <w:szCs w:val="20"/>
          <w:shd w:val="clear" w:color="auto" w:fill="FFFFFF"/>
        </w:rPr>
        <w:t xml:space="preserve"> = cv) </w:t>
      </w:r>
      <w:r>
        <w:rPr>
          <w:rFonts w:ascii="Courier New" w:hAnsi="Courier New" w:cs="Courier New"/>
          <w:color w:val="0000FF"/>
          <w:sz w:val="20"/>
          <w:szCs w:val="20"/>
          <w:shd w:val="clear" w:color="auto" w:fill="FFFFFF"/>
        </w:rPr>
        <w:t>cvmethod</w:t>
      </w:r>
      <w:r>
        <w:rPr>
          <w:rFonts w:ascii="Courier New" w:hAnsi="Courier New" w:cs="Courier New"/>
          <w:color w:val="000000"/>
          <w:sz w:val="20"/>
          <w:szCs w:val="20"/>
          <w:shd w:val="clear" w:color="auto" w:fill="FFFFFF"/>
        </w:rPr>
        <w:t xml:space="preserve"> = random(</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stats</w:t>
      </w:r>
      <w:r>
        <w:rPr>
          <w:rFonts w:ascii="Courier New" w:hAnsi="Courier New" w:cs="Courier New"/>
          <w:color w:val="000000"/>
          <w:sz w:val="20"/>
          <w:szCs w:val="20"/>
          <w:shd w:val="clear" w:color="auto" w:fill="FFFFFF"/>
        </w:rPr>
        <w:t>= adjrsq;</w:t>
      </w:r>
    </w:p>
    <w:p>
      <w:pPr>
        <w:pBdr>
          <w:top w:val="single" w:color="auto" w:sz="4" w:space="1"/>
          <w:left w:val="single" w:color="auto" w:sz="4" w:space="4"/>
          <w:bottom w:val="single" w:color="auto" w:sz="4" w:space="1"/>
          <w:right w:val="single" w:color="auto" w:sz="4" w:space="4"/>
        </w:pBdr>
        <w:tabs>
          <w:tab w:val="left" w:pos="2955"/>
        </w:tabs>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pPr>
        <w:tabs>
          <w:tab w:val="left" w:pos="2955"/>
        </w:tabs>
        <w:rPr>
          <w:rFonts w:ascii="Courier New" w:hAnsi="Courier New" w:cs="Courier New"/>
          <w:color w:val="000000"/>
          <w:sz w:val="20"/>
          <w:szCs w:val="20"/>
          <w:shd w:val="clear" w:color="auto" w:fill="FFFFFF"/>
        </w:rPr>
      </w:pPr>
    </w:p>
    <w:p>
      <w:pPr>
        <w:tabs>
          <w:tab w:val="left" w:pos="2955"/>
        </w:tabs>
        <w:rPr>
          <w:rFonts w:ascii="Courier New" w:hAnsi="Courier New" w:cs="Courier New"/>
          <w:color w:val="000000"/>
          <w:sz w:val="20"/>
          <w:szCs w:val="20"/>
          <w:shd w:val="clear" w:color="auto" w:fill="FFFFFF"/>
        </w:rPr>
      </w:pPr>
    </w:p>
    <w:p>
      <w:pPr>
        <w:tabs>
          <w:tab w:val="left" w:pos="2955"/>
        </w:tabs>
        <w:rPr>
          <w:b/>
          <w:bCs/>
          <w:u w:val="single"/>
        </w:rPr>
      </w:pPr>
      <w:r>
        <w:rPr>
          <w:b/>
          <w:bCs/>
          <w:u w:val="single"/>
        </w:rPr>
        <w:t>Output of Stepwise Selection Method</w:t>
      </w:r>
    </w:p>
    <w:p>
      <w:pPr>
        <w:tabs>
          <w:tab w:val="left" w:pos="2955"/>
        </w:tabs>
        <w:rPr>
          <w:b/>
          <w:bCs/>
          <w:u w:val="single"/>
        </w:rPr>
      </w:pPr>
    </w:p>
    <w:p>
      <w:pPr>
        <w:tabs>
          <w:tab w:val="left" w:pos="2955"/>
        </w:tabs>
        <w:rPr>
          <w:b/>
          <w:bCs/>
          <w:u w:val="single"/>
        </w:rPr>
      </w:pPr>
    </w:p>
    <w:p>
      <w:pPr>
        <w:tabs>
          <w:tab w:val="left" w:pos="2955"/>
        </w:tabs>
        <w:rPr>
          <w:b/>
          <w:bCs/>
          <w:u w:val="single"/>
        </w:rPr>
      </w:pPr>
      <w:r>
        <w:rPr>
          <w:b/>
          <w:bCs/>
          <w:u w:val="single"/>
        </w:rPr>
        <w:drawing>
          <wp:inline distT="0" distB="0" distL="0" distR="0">
            <wp:extent cx="5895975" cy="43459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04445" cy="4351972"/>
                    </a:xfrm>
                    <a:prstGeom prst="rect">
                      <a:avLst/>
                    </a:prstGeom>
                    <a:noFill/>
                  </pic:spPr>
                </pic:pic>
              </a:graphicData>
            </a:graphic>
          </wp:inline>
        </w:drawing>
      </w:r>
    </w:p>
    <w:p>
      <w:pPr>
        <w:spacing w:after="160" w:line="259" w:lineRule="auto"/>
      </w:pPr>
      <w:r>
        <w:t>Fig 2.1: Assumption Graphs</w:t>
      </w:r>
    </w:p>
    <w:p>
      <w:pPr>
        <w:spacing w:after="160" w:line="259" w:lineRule="auto"/>
      </w:pPr>
      <w:r>
        <w:t>Code:</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Plot data */</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train plots= </w:t>
      </w:r>
      <w:r>
        <w:rPr>
          <w:rFonts w:ascii="Courier New" w:hAnsi="Courier New" w:cs="Courier New"/>
          <w:color w:val="0000FF"/>
          <w:sz w:val="20"/>
          <w:szCs w:val="20"/>
          <w:shd w:val="clear" w:color="auto" w:fill="FFFFFF"/>
        </w:rPr>
        <w:t>all</w:t>
      </w:r>
      <w:r>
        <w:rPr>
          <w:rFonts w:ascii="Courier New" w:hAnsi="Courier New" w:cs="Courier New"/>
          <w:color w:val="000000"/>
          <w:sz w:val="20"/>
          <w:szCs w:val="20"/>
          <w:shd w:val="clear" w:color="auto" w:fill="FFFFFF"/>
        </w:rPr>
        <w:t>;</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SalePrice = MSSubClass LotArea OverallQual OverallCond YearBuilt YearRemodAdd BsmtFinSF1 TotalBsmtSF GrLivArea BedroomAbvGr KitchenAbvGr TotRmsAbvGrd GarageArea ScreenPorch LotShapeQ LotConfigQ NeighborhoodQ Condition1Q HouseStyleQ RoofStyleQ RoofMatlQ Exterior1stQ Exterior2ndQ MasVnrTypeQ ExterQualQ ExterCondQ FoundationQ HeatingQ HeatingQCQ KitchenQualQ FunctionalQ FireplaceQuQ GarageTypeQ GarageFinishQ GarageQualQ GarageCondQ PavedDriveQ PoolQCQ MiscFeatureQ SaleTypeQ SaleConditionQ</w:t>
      </w:r>
    </w:p>
    <w:p>
      <w:pPr>
        <w:pBdr>
          <w:top w:val="single" w:color="auto" w:sz="4" w:space="1"/>
          <w:left w:val="single" w:color="auto" w:sz="4" w:space="4"/>
          <w:bottom w:val="single" w:color="auto" w:sz="4" w:space="1"/>
          <w:right w:val="single" w:color="auto" w:sz="4" w:space="4"/>
        </w:pBd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w:t>
      </w:r>
    </w:p>
    <w:p>
      <w:pPr>
        <w:pBdr>
          <w:top w:val="single" w:color="auto" w:sz="4" w:space="1"/>
          <w:left w:val="single" w:color="auto" w:sz="4" w:space="4"/>
          <w:bottom w:val="single" w:color="auto" w:sz="4" w:space="1"/>
          <w:right w:val="single" w:color="auto" w:sz="4" w:space="4"/>
        </w:pBdr>
        <w:spacing w:after="160" w:line="259" w:lineRule="auto"/>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pPr>
        <w:tabs>
          <w:tab w:val="left" w:pos="2955"/>
        </w:tabs>
      </w:pPr>
    </w:p>
    <w:p>
      <w:pPr>
        <w:tabs>
          <w:tab w:val="left" w:pos="2955"/>
        </w:tabs>
      </w:pPr>
      <w:r>
        <w:drawing>
          <wp:inline distT="0" distB="0" distL="0" distR="0">
            <wp:extent cx="4343400" cy="32486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1"/>
                    <a:stretch>
                      <a:fillRect/>
                    </a:stretch>
                  </pic:blipFill>
                  <pic:spPr>
                    <a:xfrm>
                      <a:off x="0" y="0"/>
                      <a:ext cx="4363633" cy="3264333"/>
                    </a:xfrm>
                    <a:prstGeom prst="rect">
                      <a:avLst/>
                    </a:prstGeom>
                  </pic:spPr>
                </pic:pic>
              </a:graphicData>
            </a:graphic>
          </wp:inline>
        </w:drawing>
      </w:r>
    </w:p>
    <w:p>
      <w:pPr>
        <w:tabs>
          <w:tab w:val="left" w:pos="2955"/>
        </w:tabs>
      </w:pPr>
    </w:p>
    <w:p>
      <w:pPr>
        <w:tabs>
          <w:tab w:val="left" w:pos="2955"/>
        </w:tabs>
      </w:pPr>
    </w:p>
    <w:p>
      <w:pPr>
        <w:tabs>
          <w:tab w:val="left" w:pos="2955"/>
        </w:tabs>
      </w:pPr>
    </w:p>
    <w:p>
      <w:pPr>
        <w:tabs>
          <w:tab w:val="left" w:pos="2955"/>
        </w:tabs>
      </w:pPr>
    </w:p>
    <w:p>
      <w:pPr>
        <w:tabs>
          <w:tab w:val="left" w:pos="2955"/>
        </w:tabs>
      </w:pPr>
    </w:p>
    <w:p>
      <w:pPr>
        <w:tabs>
          <w:tab w:val="left" w:pos="2955"/>
        </w:tabs>
      </w:pPr>
    </w:p>
    <w:p>
      <w:pPr>
        <w:tabs>
          <w:tab w:val="left" w:pos="2955"/>
        </w:tabs>
      </w:pPr>
    </w:p>
    <w:p>
      <w:pPr>
        <w:tabs>
          <w:tab w:val="left" w:pos="2955"/>
        </w:tabs>
      </w:pPr>
    </w:p>
    <w:p>
      <w:pPr>
        <w:tabs>
          <w:tab w:val="left" w:pos="2955"/>
        </w:tabs>
      </w:pPr>
    </w:p>
    <w:p>
      <w:pPr>
        <w:tabs>
          <w:tab w:val="left" w:pos="2955"/>
        </w:tabs>
      </w:pPr>
    </w:p>
    <w:p>
      <w:pPr>
        <w:tabs>
          <w:tab w:val="left" w:pos="2955"/>
        </w:tabs>
      </w:pPr>
    </w:p>
    <w:p>
      <w:pPr>
        <w:tabs>
          <w:tab w:val="left" w:pos="2955"/>
        </w:tabs>
      </w:pPr>
    </w:p>
    <w:p>
      <w:pPr>
        <w:tabs>
          <w:tab w:val="left" w:pos="2955"/>
        </w:tabs>
      </w:pPr>
    </w:p>
    <w:p>
      <w:pPr>
        <w:spacing w:after="160" w:line="259" w:lineRule="auto"/>
        <w:jc w:val="both"/>
      </w:pPr>
      <w:r>
        <w:t>Fig 2.2:</w:t>
      </w:r>
    </w:p>
    <w:p>
      <w:pPr>
        <w:spacing w:after="160" w:line="259" w:lineRule="auto"/>
      </w:pPr>
      <w:r>
        <w:drawing>
          <wp:inline distT="0" distB="0" distL="0" distR="0">
            <wp:extent cx="4829175" cy="36753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2"/>
                    <a:stretch>
                      <a:fillRect/>
                    </a:stretch>
                  </pic:blipFill>
                  <pic:spPr>
                    <a:xfrm>
                      <a:off x="0" y="0"/>
                      <a:ext cx="4877179" cy="3712077"/>
                    </a:xfrm>
                    <a:prstGeom prst="rect">
                      <a:avLst/>
                    </a:prstGeom>
                  </pic:spPr>
                </pic:pic>
              </a:graphicData>
            </a:graphic>
          </wp:inline>
        </w:drawing>
      </w:r>
    </w:p>
    <w:p>
      <w:pPr>
        <w:spacing w:after="160" w:line="259" w:lineRule="auto"/>
      </w:pPr>
      <w:r>
        <w:t>Fig 2.3:</w:t>
      </w:r>
    </w:p>
    <w:p>
      <w:pPr>
        <w:spacing w:after="160" w:line="259" w:lineRule="auto"/>
      </w:pPr>
      <w:r>
        <w:drawing>
          <wp:inline distT="0" distB="0" distL="0" distR="0">
            <wp:extent cx="4886325" cy="37077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3"/>
                    <a:stretch>
                      <a:fillRect/>
                    </a:stretch>
                  </pic:blipFill>
                  <pic:spPr>
                    <a:xfrm>
                      <a:off x="0" y="0"/>
                      <a:ext cx="4924938" cy="3737375"/>
                    </a:xfrm>
                    <a:prstGeom prst="rect">
                      <a:avLst/>
                    </a:prstGeom>
                  </pic:spPr>
                </pic:pic>
              </a:graphicData>
            </a:graphic>
          </wp:inline>
        </w:drawing>
      </w:r>
    </w:p>
    <w:p>
      <w:pPr>
        <w:tabs>
          <w:tab w:val="left" w:pos="2955"/>
        </w:tabs>
      </w:pPr>
      <w:r>
        <w:t>Fig 2.4</w:t>
      </w:r>
    </w:p>
    <w:p>
      <w:r>
        <w:drawing>
          <wp:inline distT="0" distB="0" distL="0" distR="0">
            <wp:extent cx="2875280" cy="2747645"/>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stretch>
                      <a:fillRect/>
                    </a:stretch>
                  </pic:blipFill>
                  <pic:spPr>
                    <a:xfrm>
                      <a:off x="0" y="0"/>
                      <a:ext cx="2893640" cy="2765304"/>
                    </a:xfrm>
                    <a:prstGeom prst="rect">
                      <a:avLst/>
                    </a:prstGeom>
                  </pic:spPr>
                </pic:pic>
              </a:graphicData>
            </a:graphic>
          </wp:inline>
        </w:drawing>
      </w:r>
      <w:r>
        <w:drawing>
          <wp:inline distT="0" distB="0" distL="0" distR="0">
            <wp:extent cx="2742565" cy="2689860"/>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2758664" cy="2705791"/>
                    </a:xfrm>
                    <a:prstGeom prst="rect">
                      <a:avLst/>
                    </a:prstGeom>
                  </pic:spPr>
                </pic:pic>
              </a:graphicData>
            </a:graphic>
          </wp:inline>
        </w:drawing>
      </w:r>
    </w:p>
    <w:p>
      <w:pPr>
        <w:tabs>
          <w:tab w:val="left" w:pos="2955"/>
        </w:tabs>
      </w:pPr>
    </w:p>
    <w:p>
      <w:pPr>
        <w:tabs>
          <w:tab w:val="left" w:pos="2955"/>
        </w:tabs>
      </w:pPr>
    </w:p>
    <w:p>
      <w:pPr>
        <w:tabs>
          <w:tab w:val="left" w:pos="2955"/>
        </w:tabs>
      </w:pPr>
    </w:p>
    <w:p>
      <w:pPr>
        <w:tabs>
          <w:tab w:val="left" w:pos="2955"/>
        </w:tabs>
      </w:pPr>
      <w:r>
        <w:t>Fig 2.5</w:t>
      </w:r>
    </w:p>
    <w:p>
      <w:pPr>
        <w:tabs>
          <w:tab w:val="left" w:pos="2955"/>
        </w:tabs>
      </w:pPr>
    </w:p>
    <w:p>
      <w:pPr>
        <w:tabs>
          <w:tab w:val="left" w:pos="2955"/>
        </w:tabs>
      </w:pPr>
    </w:p>
    <w:p>
      <w:pPr>
        <w:tabs>
          <w:tab w:val="left" w:pos="2955"/>
        </w:tabs>
      </w:pPr>
      <w:r>
        <w:drawing>
          <wp:inline distT="0" distB="0" distL="0" distR="0">
            <wp:extent cx="4362450" cy="33134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6"/>
                    <a:stretch>
                      <a:fillRect/>
                    </a:stretch>
                  </pic:blipFill>
                  <pic:spPr>
                    <a:xfrm>
                      <a:off x="0" y="0"/>
                      <a:ext cx="4377866" cy="3325494"/>
                    </a:xfrm>
                    <a:prstGeom prst="rect">
                      <a:avLst/>
                    </a:prstGeom>
                  </pic:spPr>
                </pic:pic>
              </a:graphicData>
            </a:graphic>
          </wp:inline>
        </w:drawing>
      </w:r>
    </w:p>
    <w:p>
      <w:pPr>
        <w:tabs>
          <w:tab w:val="left" w:pos="2955"/>
        </w:tabs>
      </w:pPr>
    </w:p>
    <w:p>
      <w:pPr>
        <w:tabs>
          <w:tab w:val="left" w:pos="2955"/>
        </w:tabs>
      </w:pPr>
    </w:p>
    <w:p>
      <w:pPr>
        <w:tabs>
          <w:tab w:val="left" w:pos="2955"/>
        </w:tabs>
      </w:pPr>
    </w:p>
    <w:p>
      <w:pPr>
        <w:tabs>
          <w:tab w:val="left" w:pos="2955"/>
        </w:tabs>
      </w:pPr>
      <w:r>
        <w:t>Fig 2.6</w:t>
      </w:r>
    </w:p>
    <w:p>
      <w:pPr>
        <w:tabs>
          <w:tab w:val="left" w:pos="2955"/>
        </w:tabs>
      </w:pPr>
    </w:p>
    <w:p>
      <w:pPr>
        <w:tabs>
          <w:tab w:val="left" w:pos="2955"/>
        </w:tabs>
      </w:pPr>
    </w:p>
    <w:p>
      <w:pPr>
        <w:spacing w:after="160" w:line="259" w:lineRule="auto"/>
      </w:pPr>
      <w:r>
        <w:drawing>
          <wp:inline distT="0" distB="0" distL="0" distR="0">
            <wp:extent cx="5943600" cy="5979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7"/>
                    <a:stretch>
                      <a:fillRect/>
                    </a:stretch>
                  </pic:blipFill>
                  <pic:spPr>
                    <a:xfrm>
                      <a:off x="0" y="0"/>
                      <a:ext cx="5943600" cy="5979795"/>
                    </a:xfrm>
                    <a:prstGeom prst="rect">
                      <a:avLst/>
                    </a:prstGeom>
                  </pic:spPr>
                </pic:pic>
              </a:graphicData>
            </a:graphic>
          </wp:inline>
        </w:drawing>
      </w:r>
    </w:p>
    <w:p>
      <w:pPr>
        <w:tabs>
          <w:tab w:val="left" w:pos="2955"/>
        </w:tabs>
      </w:pPr>
    </w:p>
    <w:p>
      <w:pPr>
        <w:spacing w:after="160" w:line="259" w:lineRule="auto"/>
      </w:pPr>
      <w:r>
        <w:br w:type="page"/>
      </w:r>
    </w:p>
    <w:p>
      <w:pPr>
        <w:tabs>
          <w:tab w:val="left" w:pos="2955"/>
        </w:tabs>
      </w:pPr>
      <w:r>
        <w:t>Fig 2.7 Kaggle score</w:t>
      </w:r>
    </w:p>
    <w:p>
      <w:pPr>
        <w:tabs>
          <w:tab w:val="left" w:pos="2955"/>
        </w:tabs>
      </w:pPr>
    </w:p>
    <w:p>
      <w:pPr>
        <w:tabs>
          <w:tab w:val="left" w:pos="2955"/>
        </w:tabs>
      </w:pPr>
      <w:r>
        <w:drawing>
          <wp:inline distT="0" distB="0" distL="0" distR="0">
            <wp:extent cx="5943600" cy="30994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8"/>
                    <a:stretch>
                      <a:fillRect/>
                    </a:stretch>
                  </pic:blipFill>
                  <pic:spPr>
                    <a:xfrm>
                      <a:off x="0" y="0"/>
                      <a:ext cx="5943600" cy="3099435"/>
                    </a:xfrm>
                    <a:prstGeom prst="rect">
                      <a:avLst/>
                    </a:prstGeom>
                  </pic:spPr>
                </pic:pic>
              </a:graphicData>
            </a:graphic>
          </wp:inline>
        </w:drawing>
      </w:r>
    </w:p>
    <w:sectPr>
      <w:headerReference r:id="rId3" w:type="default"/>
      <w:footerReference r:id="rId4" w:type="default"/>
      <w:pgSz w:w="12240" w:h="15840"/>
      <w:pgMar w:top="1440" w:right="1440" w:bottom="1440" w:left="144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DengXian">
    <w:altName w:val="SimSun"/>
    <w:panose1 w:val="02010600030101010101"/>
    <w:charset w:val="86"/>
    <w:family w:val="auto"/>
    <w:pitch w:val="default"/>
    <w:sig w:usb0="00000000" w:usb1="00000000" w:usb2="00000016" w:usb3="00000000" w:csb0="0004000F" w:csb1="00000000"/>
  </w:font>
  <w:font w:name="Helvetica Neue">
    <w:altName w:val="Sylfaen"/>
    <w:panose1 w:val="00000000000000000000"/>
    <w:charset w:val="00"/>
    <w:family w:val="auto"/>
    <w:pitch w:val="default"/>
    <w:sig w:usb0="00000000" w:usb1="00000000" w:usb2="00000010" w:usb3="00000000" w:csb0="00000001" w:csb1="00000000"/>
  </w:font>
  <w:font w:name="Symbol">
    <w:panose1 w:val="05050102010706020507"/>
    <w:charset w:val="02"/>
    <w:family w:val="roman"/>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color w:val="4472C4"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452" o:spid="_x0000_s1026" o:spt="1" style="position:absolute;left:0pt;height:750.3pt;width:579.9pt;mso-position-horizontal:center;mso-position-horizontal-relative:page;mso-position-vertical:center;mso-position-vertical-relative:page;z-index:251659264;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U93PQ1AAA&#10;AAcBAAAPAAAAAAAAAAEAIAAAACIAAABkcnMvZG93bnJldi54bWxQSwECFAAUAAAACACHTuJAs0IN&#10;HFsCAACnBAAADgAAAAAAAAABACAAAAAjAQAAZHJzL2Uyb0RvYy54bWxQSwUGAAAAAAYABgBZAQAA&#10;8AUAAAAA&#10;">
              <v:fill on="f" focussize="0,0"/>
              <v:stroke weight="1.25pt" color="#767171 [1614]" miterlimit="8" joinstyle="miter"/>
              <v:imagedata o:title=""/>
              <o:lock v:ext="edit" aspectratio="f"/>
            </v:rect>
          </w:pict>
        </mc:Fallback>
      </mc:AlternateContent>
    </w:r>
    <w:r>
      <w:rPr>
        <w:color w:val="4472C4" w:themeColor="accent1"/>
        <w14:textFill>
          <w14:solidFill>
            <w14:schemeClr w14:val="accent1"/>
          </w14:solidFill>
        </w14:textFill>
      </w:rPr>
      <w:t xml:space="preserve"> </w:t>
    </w:r>
    <w:r>
      <w:rPr>
        <w:rFonts w:asciiTheme="majorHAnsi" w:hAnsiTheme="majorHAnsi" w:eastAsiaTheme="majorEastAsia" w:cstheme="majorBidi"/>
        <w:color w:val="4472C4" w:themeColor="accent1"/>
        <w:sz w:val="20"/>
        <w:szCs w:val="20"/>
        <w14:textFill>
          <w14:solidFill>
            <w14:schemeClr w14:val="accent1"/>
          </w14:solidFill>
        </w14:textFill>
      </w:rPr>
      <w:t xml:space="preserve">pg. </w:t>
    </w:r>
    <w:r>
      <w:rPr>
        <w:rFonts w:eastAsiaTheme="minorEastAsia"/>
        <w:color w:val="4472C4" w:themeColor="accent1"/>
        <w:sz w:val="20"/>
        <w:szCs w:val="20"/>
        <w14:textFill>
          <w14:solidFill>
            <w14:schemeClr w14:val="accent1"/>
          </w14:solidFill>
        </w14:textFill>
      </w:rPr>
    </w:r>
    <w:r>
      <w:rPr>
        <w:color w:val="4472C4" w:themeColor="accent1"/>
        <w:sz w:val="20"/>
        <w:szCs w:val="20"/>
        <w14:textFill>
          <w14:solidFill>
            <w14:schemeClr w14:val="accent1"/>
          </w14:solidFill>
        </w14:textFill>
      </w:rPr>
      <w:instrText xml:space="preserve"/>
    </w:r>
    <w:r>
      <w:rPr>
        <w:rFonts w:eastAsiaTheme="minorEastAsia"/>
        <w:color w:val="4472C4" w:themeColor="accent1"/>
        <w:sz w:val="20"/>
        <w:szCs w:val="20"/>
        <w14:textFill>
          <w14:solidFill>
            <w14:schemeClr w14:val="accent1"/>
          </w14:solidFill>
        </w14:textFill>
      </w:rPr>
    </w:r>
    <w:r>
      <w:rPr>
        <w:rFonts w:asciiTheme="majorHAnsi" w:hAnsiTheme="majorHAnsi" w:eastAsiaTheme="majorEastAsia" w:cstheme="majorBidi"/>
        <w:color w:val="4472C4" w:themeColor="accent1"/>
        <w:sz w:val="20"/>
        <w:szCs w:val="20"/>
        <w14:textFill>
          <w14:solidFill>
            <w14:schemeClr w14:val="accent1"/>
          </w14:solidFill>
        </w14:textFill>
      </w:rPr>
      <w:t>2</w:t>
    </w:r>
    <w:r>
      <w:rPr>
        <w:rFonts w:asciiTheme="majorHAnsi" w:hAnsiTheme="majorHAnsi" w:eastAsiaTheme="majorEastAsia" w:cstheme="majorBidi"/>
        <w:color w:val="4472C4" w:themeColor="accent1"/>
        <w:sz w:val="20"/>
        <w:szCs w:val="20"/>
        <w14:textFill>
          <w14:solidFill>
            <w14:schemeClr w14:val="accent1"/>
          </w14:solidFill>
        </w14:textFill>
      </w:rPr>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t>Kaggle Project</w:t>
    </w:r>
  </w:p>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496DB4"/>
    <w:multiLevelType w:val="multilevel"/>
    <w:tmpl w:val="74496D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A19"/>
    <w:rsid w:val="000B282A"/>
    <w:rsid w:val="000C079B"/>
    <w:rsid w:val="00155B04"/>
    <w:rsid w:val="00160C33"/>
    <w:rsid w:val="001F6271"/>
    <w:rsid w:val="00230BAA"/>
    <w:rsid w:val="00246FA5"/>
    <w:rsid w:val="002629BB"/>
    <w:rsid w:val="002729C8"/>
    <w:rsid w:val="002A4B31"/>
    <w:rsid w:val="002F491D"/>
    <w:rsid w:val="00356ABF"/>
    <w:rsid w:val="003D3BED"/>
    <w:rsid w:val="003E4F86"/>
    <w:rsid w:val="00445CF4"/>
    <w:rsid w:val="00457E01"/>
    <w:rsid w:val="00461865"/>
    <w:rsid w:val="00462EB8"/>
    <w:rsid w:val="004E4620"/>
    <w:rsid w:val="00500362"/>
    <w:rsid w:val="0051292E"/>
    <w:rsid w:val="005B7AF7"/>
    <w:rsid w:val="005D067C"/>
    <w:rsid w:val="005E5D1C"/>
    <w:rsid w:val="006064AE"/>
    <w:rsid w:val="00612A4E"/>
    <w:rsid w:val="00630DB6"/>
    <w:rsid w:val="00646AB3"/>
    <w:rsid w:val="0071486C"/>
    <w:rsid w:val="00743790"/>
    <w:rsid w:val="00762D58"/>
    <w:rsid w:val="007B5CE7"/>
    <w:rsid w:val="007C0856"/>
    <w:rsid w:val="007D7654"/>
    <w:rsid w:val="008024DA"/>
    <w:rsid w:val="008648E9"/>
    <w:rsid w:val="00883D70"/>
    <w:rsid w:val="008A23D7"/>
    <w:rsid w:val="009503EA"/>
    <w:rsid w:val="0096621D"/>
    <w:rsid w:val="009E7736"/>
    <w:rsid w:val="00A32A86"/>
    <w:rsid w:val="00A917A9"/>
    <w:rsid w:val="00AF2F44"/>
    <w:rsid w:val="00B24831"/>
    <w:rsid w:val="00B93309"/>
    <w:rsid w:val="00BA18AA"/>
    <w:rsid w:val="00BE482E"/>
    <w:rsid w:val="00C127B1"/>
    <w:rsid w:val="00D17A19"/>
    <w:rsid w:val="00D75550"/>
    <w:rsid w:val="00D922E9"/>
    <w:rsid w:val="00E3035D"/>
    <w:rsid w:val="00E50BA2"/>
    <w:rsid w:val="00EC4048"/>
    <w:rsid w:val="00ED0298"/>
    <w:rsid w:val="00F4418E"/>
    <w:rsid w:val="00F939BE"/>
    <w:rsid w:val="00FD452C"/>
    <w:rsid w:val="00FD45D6"/>
    <w:rsid w:val="3D7F6906"/>
    <w:rsid w:val="469D7027"/>
    <w:rsid w:val="486E3EC3"/>
    <w:rsid w:val="5C2467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heme="minorHAnsi" w:hAnsiTheme="minorHAnsi" w:eastAsiaTheme="minorHAnsi" w:cstheme="minorBidi"/>
      <w:sz w:val="24"/>
      <w:szCs w:val="24"/>
      <w:lang w:val="en-US" w:eastAsia="en-US" w:bidi="ar-SA"/>
    </w:rPr>
  </w:style>
  <w:style w:type="character" w:default="1" w:styleId="5">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footer"/>
    <w:basedOn w:val="1"/>
    <w:link w:val="13"/>
    <w:unhideWhenUsed/>
    <w:uiPriority w:val="99"/>
    <w:pPr>
      <w:tabs>
        <w:tab w:val="center" w:pos="4680"/>
        <w:tab w:val="right" w:pos="9360"/>
      </w:tabs>
    </w:pPr>
  </w:style>
  <w:style w:type="paragraph" w:styleId="3">
    <w:name w:val="header"/>
    <w:basedOn w:val="1"/>
    <w:link w:val="12"/>
    <w:unhideWhenUsed/>
    <w:qFormat/>
    <w:uiPriority w:val="99"/>
    <w:pPr>
      <w:tabs>
        <w:tab w:val="center" w:pos="4680"/>
        <w:tab w:val="right" w:pos="9360"/>
      </w:tabs>
    </w:pPr>
  </w:style>
  <w:style w:type="paragraph" w:styleId="4">
    <w:name w:val="Normal (Web)"/>
    <w:basedOn w:val="1"/>
    <w:unhideWhenUsed/>
    <w:uiPriority w:val="99"/>
    <w:pPr>
      <w:spacing w:before="100" w:beforeAutospacing="1" w:after="100" w:afterAutospacing="1"/>
    </w:pPr>
    <w:rPr>
      <w:rFonts w:ascii="Times New Roman" w:hAnsi="Times New Roman" w:cs="Times New Roman"/>
    </w:rPr>
  </w:style>
  <w:style w:type="character" w:styleId="6">
    <w:name w:val="Hyperlink"/>
    <w:basedOn w:val="5"/>
    <w:semiHidden/>
    <w:unhideWhenUsed/>
    <w:uiPriority w:val="99"/>
    <w:rPr>
      <w:color w:val="0000FF"/>
      <w:u w:val="single"/>
    </w:rPr>
  </w:style>
  <w:style w:type="table" w:styleId="8">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spacing w:after="200" w:line="276" w:lineRule="auto"/>
      <w:ind w:left="720"/>
      <w:contextualSpacing/>
    </w:pPr>
    <w:rPr>
      <w:sz w:val="22"/>
      <w:szCs w:val="22"/>
    </w:rPr>
  </w:style>
  <w:style w:type="paragraph" w:styleId="10">
    <w:name w:val="No Spacing"/>
    <w:link w:val="1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1">
    <w:name w:val="No Spacing Char"/>
    <w:basedOn w:val="5"/>
    <w:link w:val="10"/>
    <w:uiPriority w:val="1"/>
    <w:rPr>
      <w:rFonts w:eastAsiaTheme="minorEastAsia"/>
      <w:sz w:val="22"/>
      <w:szCs w:val="22"/>
    </w:rPr>
  </w:style>
  <w:style w:type="character" w:customStyle="1" w:styleId="12">
    <w:name w:val="Header Char"/>
    <w:basedOn w:val="5"/>
    <w:link w:val="3"/>
    <w:uiPriority w:val="99"/>
    <w:rPr>
      <w:sz w:val="24"/>
      <w:szCs w:val="24"/>
    </w:rPr>
  </w:style>
  <w:style w:type="character" w:customStyle="1" w:styleId="13">
    <w:name w:val="Footer Char"/>
    <w:basedOn w:val="5"/>
    <w:link w:val="2"/>
    <w:uiPriority w:val="99"/>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glossaryDocument" Target="glossary/document.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F73366A966E4F9D9C9A1F012298CC48"/>
        <w:style w:val=""/>
        <w:category>
          <w:name w:val="General"/>
          <w:gallery w:val="placeholder"/>
        </w:category>
        <w:types>
          <w:type w:val="bbPlcHdr"/>
        </w:types>
        <w:behaviors>
          <w:behavior w:val="content"/>
        </w:behaviors>
        <w:description w:val=""/>
        <w:guid w:val="{202D8666-C66E-4B9F-AF2D-DC406618FC32}"/>
      </w:docPartPr>
      <w:docPartBody>
        <w:p>
          <w:pPr>
            <w:pStyle w:val="4"/>
          </w:pPr>
          <w:r>
            <w:rPr>
              <w:rFonts w:asciiTheme="majorHAnsi" w:hAnsiTheme="majorHAnsi" w:eastAsiaTheme="majorEastAsia" w:cstheme="majorBidi"/>
              <w:caps/>
              <w:color w:val="4472C4" w:themeColor="accent1"/>
              <w:sz w:val="80"/>
              <w:szCs w:val="80"/>
              <w14:textFill>
                <w14:solidFill>
                  <w14:schemeClr w14:val="accent1"/>
                </w14:solidFill>
              </w14:textFill>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2C8"/>
    <w:rsid w:val="007242C8"/>
    <w:rsid w:val="008E0A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3F73366A966E4F9D9C9A1F012298CC48"/>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247ADCE134D043BFAD8FA3BDCFBD7189"/>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6">
    <w:name w:val="4540DC1497C9469F9D9899F3151F4B47"/>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2019-12-04T00:00:00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Company>From: Billy Nayden, Muchigi Kimari, Vijayasrikanth Kanit &amp; Paritosh Rai</Company>
  <Pages>24</Pages>
  <Words>3118</Words>
  <Characters>17778</Characters>
  <Lines>148</Lines>
  <Paragraphs>41</Paragraphs>
  <TotalTime>7</TotalTime>
  <ScaleCrop>false</ScaleCrop>
  <LinksUpToDate>false</LinksUpToDate>
  <CharactersWithSpaces>20855</CharactersWithSpaces>
  <Application>WPS Office_11.2.0.9070_F1E327BC-269C-435d-A152-05C5408002CA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2019-12-05T03:51:00Z</dcterms:created>
  <dc:creator>Paritosh Rai</dc:creator>
  <cp:lastModifiedBy>BNayd</cp:lastModifiedBy>
  <dcterms:modified xsi:type="dcterms:W3CDTF">2019-12-05T04:19:24Z</dcterms:modified>
  <dc:subject>From: Billy Nayden, Muchigi Kimari, Vijayasrikanth Kanit &amp; Paritosh Rai</dc:subject>
  <dc:title>Kaggle Project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