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12cb2c97ef115ffdc610a6cef7e1b3b438c42e"/>
    <w:p>
      <w:pPr>
        <w:pStyle w:val="Heading1"/>
      </w:pPr>
      <w:r>
        <w:t xml:space="preserve">Bulletin SDK: Multi-Language Strategy and Integration Plan</w:t>
      </w:r>
    </w:p>
    <w:bookmarkStart w:id="9" w:name="the-problem-duplicated-protocol-logic"/>
    <w:p>
      <w:pPr>
        <w:pStyle w:val="Heading2"/>
      </w:pPr>
      <w:r>
        <w:t xml:space="preserve">The Problem: Duplicated Protocol Logic</w:t>
      </w:r>
    </w:p>
    <w:p>
      <w:pPr>
        <w:pStyle w:val="FirstParagraph"/>
      </w:pPr>
      <w:r>
        <w:t xml:space="preserve">Today, every tool that interacts with Bulletin Chain’s TransactionStorage pallet reimplements the same core logic independently: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Lines of storage code</w:t>
            </w:r>
          </w:p>
        </w:tc>
        <w:tc>
          <w:tcPr/>
          <w:p>
            <w:pPr>
              <w:pStyle w:val="Compact"/>
            </w:pPr>
            <w:r>
              <w:t xml:space="preserve">CID logic</w:t>
            </w:r>
          </w:p>
        </w:tc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DAG-PB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bulletin-deploy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  <w:r>
              <w:t xml:space="preserve"> </w:t>
            </w:r>
            <w:r>
              <w:rPr>
                <w:rStyle w:val="VerbatimChar"/>
              </w:rPr>
              <w:t xml:space="preserve">createCID()</w:t>
            </w:r>
          </w:p>
        </w:tc>
        <w:tc>
          <w:tcPr/>
          <w:p>
            <w:pPr>
              <w:pStyle w:val="Compact"/>
            </w:pPr>
            <w:r>
              <w:t xml:space="preserve">Own chunking</w:t>
            </w:r>
          </w:p>
        </w:tc>
        <w:tc>
          <w:tcPr/>
          <w:p>
            <w:pPr>
              <w:pStyle w:val="Compact"/>
            </w:pPr>
            <w:r>
              <w:t xml:space="preserve">Own DAG-PB builder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Promise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dotNS CLI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~350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  <w:r>
              <w:t xml:space="preserve"> </w:t>
            </w:r>
            <w:r>
              <w:rPr>
                <w:rStyle w:val="VerbatimChar"/>
              </w:rPr>
              <w:t xml:space="preserve">createRawCid()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createDagPbCid()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  <w:r>
              <w:t xml:space="preserve"> </w:t>
            </w:r>
            <w:r>
              <w:rPr>
                <w:rStyle w:val="VerbatimChar"/>
              </w:rPr>
              <w:t xml:space="preserve">splitBytesIntoChunks()</w:t>
            </w:r>
          </w:p>
        </w:tc>
        <w:tc>
          <w:tcPr/>
          <w:p>
            <w:pPr>
              <w:pStyle w:val="Compact"/>
            </w:pPr>
            <w:r>
              <w:t xml:space="preserve">Own DAG-PB builder</w:t>
            </w:r>
          </w:p>
        </w:tc>
        <w:tc>
          <w:tcPr/>
          <w:p>
            <w:pPr>
              <w:pStyle w:val="Compact"/>
            </w:pPr>
            <w:r>
              <w:t xml:space="preserve">Raw error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UI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~130 (before SDK)</w:t>
            </w:r>
          </w:p>
        </w:tc>
        <w:tc>
          <w:tcPr/>
          <w:p>
            <w:pPr>
              <w:pStyle w:val="Compact"/>
            </w:pPr>
            <w:r>
              <w:t xml:space="preserve">Was own</w:t>
            </w:r>
            <w:r>
              <w:t xml:space="preserve"> </w:t>
            </w:r>
            <w:r>
              <w:rPr>
                <w:rStyle w:val="VerbatimChar"/>
              </w:rPr>
              <w:t xml:space="preserve">lib/cid.ts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Ad hoc</w:t>
            </w:r>
          </w:p>
        </w:tc>
      </w:tr>
    </w:tbl>
    <w:p>
      <w:pPr>
        <w:pStyle w:val="BodyText"/>
      </w:pPr>
      <w:r>
        <w:t xml:space="preserve">Each reimplements:</w:t>
      </w:r>
      <w:r>
        <w:t xml:space="preserve"> </w:t>
      </w:r>
      <w:r>
        <w:t xml:space="preserve">- CID calculation (multihash creation, codec selection, hash algorithm mapping)</w:t>
      </w:r>
      <w:r>
        <w:t xml:space="preserve"> </w:t>
      </w:r>
      <w:r>
        <w:t xml:space="preserve">- Chunking (splitting data, size validation, reassembly)</w:t>
      </w:r>
      <w:r>
        <w:t xml:space="preserve"> </w:t>
      </w:r>
      <w:r>
        <w:t xml:space="preserve">- DAG-PB manifest creation (UnixFS metadata, link construction, encoding)</w:t>
      </w:r>
      <w:r>
        <w:t xml:space="preserve"> </w:t>
      </w:r>
      <w:r>
        <w:t xml:space="preserve">- Transaction submission and status tracking (signed → broadcasted → in block → finalized)</w:t>
      </w:r>
      <w:r>
        <w:t xml:space="preserve"> </w:t>
      </w:r>
      <w:r>
        <w:t xml:space="preserve">- Hashing algorithm enum conversion for the pallet’s SCALE encoding</w:t>
      </w:r>
      <w:r>
        <w:t xml:space="preserve"> </w:t>
      </w:r>
      <w:r>
        <w:t xml:space="preserve">- Error handling for dispatch errors, timeouts, and reorgs</w:t>
      </w:r>
    </w:p>
    <w:p>
      <w:pPr>
        <w:pStyle w:val="BodyText"/>
      </w:pPr>
      <w:r>
        <w:t xml:space="preserve">This duplication is not benign. When the pallet interface changes (e.g.,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store_with_cid_config</w:t>
      </w:r>
      <w:r>
        <w:t xml:space="preserve">), each tool must be updated independently. When a subtle encoding bug is found (e.g., hash algorithm enum mapping), it must be fixed in every codebase. Behaviour drifts silently — a CID that validates in one tool may not match what another tool produces.</w:t>
      </w:r>
    </w:p>
    <w:bookmarkEnd w:id="9"/>
    <w:bookmarkStart w:id="13" w:name="the-solution-one-sdk-multiple-languages"/>
    <w:p>
      <w:pPr>
        <w:pStyle w:val="Heading2"/>
      </w:pPr>
      <w:r>
        <w:t xml:space="preserve">The Solution: One SDK, Multiple Languages</w:t>
      </w:r>
    </w:p>
    <w:p>
      <w:pPr>
        <w:pStyle w:val="FirstParagraph"/>
      </w:pPr>
      <w:r>
        <w:t xml:space="preserve">The Bulletin SDK consolidates all Bulletin Chain interaction logic into a single, tested, maintained library — available in the two languages that cover every current and foreseeable consumer:</w:t>
      </w:r>
    </w:p>
    <w:bookmarkStart w:id="10" w:name="why-typescript"/>
    <w:p>
      <w:pPr>
        <w:pStyle w:val="Heading3"/>
      </w:pPr>
      <w:r>
        <w:t xml:space="preserve">Why TypeScript</w:t>
      </w:r>
    </w:p>
    <w:p>
      <w:pPr>
        <w:pStyle w:val="FirstParagraph"/>
      </w:pPr>
      <w:r>
        <w:t xml:space="preserve">TypeScript is where the consumers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bulletin-deploy</w:t>
      </w:r>
      <w:r>
        <w:t xml:space="preserve">: CLI tool for deploying static sites to Bulletin + DotNS. Currently ~300 lines of hand-rolled storage code that the SDK replaces entirely.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dotNS CLI/SDK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packages/cli/src/bulletin/</w:t>
      </w:r>
      <w:r>
        <w:t xml:space="preserve"> </w:t>
      </w:r>
      <w:r>
        <w:t xml:space="preserve">directory contains ~350 lines of duplicated CID, chunking, and storage code that could be a direct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@bulletin/sdk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Console UI</w:t>
      </w:r>
      <w:r>
        <w:t xml:space="preserve">: The reference web application for Bulletin Chain. Already migrated to the SDK, removing ~130 lines of manual CID calculation.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SDK adapter</w:t>
      </w:r>
      <w:r>
        <w:t xml:space="preserve">: Products (pApps) running inside Nova Spektr need Bulletin storage routed through the Host API. The adapter is a thin wrapper around the same core SDK.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web tooling</w:t>
      </w:r>
      <w:r>
        <w:t xml:space="preserve">: Any browser-based application, developer tool, or dashboard that reads from or writes to Bulletin Chain.</w:t>
      </w:r>
    </w:p>
    <w:p>
      <w:pPr>
        <w:pStyle w:val="FirstParagraph"/>
      </w:pPr>
      <w:r>
        <w:t xml:space="preserve">TypeScript covers the entire web and Node.js ecosystem with a single codebase.</w:t>
      </w:r>
    </w:p>
    <w:bookmarkEnd w:id="10"/>
    <w:bookmarkStart w:id="11" w:name="why-rust"/>
    <w:p>
      <w:pPr>
        <w:pStyle w:val="Heading3"/>
      </w:pPr>
      <w:r>
        <w:t xml:space="preserve">Why Rust</w:t>
      </w:r>
    </w:p>
    <w:p>
      <w:pPr>
        <w:pStyle w:val="FirstParagraph"/>
      </w:pPr>
      <w:r>
        <w:t xml:space="preserve">Rust is where the infrastructure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Bulletin Chain node itself</w:t>
      </w:r>
      <w:r>
        <w:t xml:space="preserve">: The node binary, IPFS integration, and runtime are all Rust. Testing infrastructure that needs to submit storage transactions uses 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Validator and operator tooling</w:t>
      </w:r>
      <w:r>
        <w:t xml:space="preserve">: Scripts and services that manage storage authorization, monitor retention periods, or perform housekeeping operations are naturally written in 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testing</w:t>
      </w:r>
      <w:r>
        <w:t xml:space="preserve">: End-to-end tests that exercise the pallet through actual extrinsics — not mock runtimes — benefit from a Rust SDK that shares the same type definitions.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Embedded / WASM environments</w:t>
      </w:r>
      <w:r>
        <w:t xml:space="preserve">: The Rust SDK supports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, making it usable in constrained environments where a full Node.js runtime is not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Cross-language type consistency</w:t>
      </w:r>
      <w:r>
        <w:t xml:space="preserve">: The Rust SDK’s error codes, event types, and API surface serve as the canonical reference. The TypeScript SDK mirrors these, ensuring that</w:t>
      </w:r>
      <w:r>
        <w:t xml:space="preserve"> </w:t>
      </w:r>
      <w:r>
        <w:rPr>
          <w:rStyle w:val="VerbatimChar"/>
        </w:rPr>
        <w:t xml:space="preserve">ErrorCode.TRANSACTION_FAILED</w:t>
      </w:r>
      <w:r>
        <w:t xml:space="preserve"> </w:t>
      </w:r>
      <w:r>
        <w:t xml:space="preserve">means the same thing in both languages.</w:t>
      </w:r>
    </w:p>
    <w:bookmarkEnd w:id="11"/>
    <w:bookmarkStart w:id="12" w:name="why-not-more-languages"/>
    <w:p>
      <w:pPr>
        <w:pStyle w:val="Heading3"/>
      </w:pPr>
      <w:r>
        <w:t xml:space="preserve">Why Not More Languages?</w:t>
      </w:r>
    </w:p>
    <w:p>
      <w:pPr>
        <w:pStyle w:val="FirstParagraph"/>
      </w:pPr>
      <w:r>
        <w:t xml:space="preserve">Every additional language multiplies maintenance cost. Rust + TypeScript covers:</w:t>
      </w:r>
      <w:r>
        <w:t xml:space="preserve"> </w:t>
      </w:r>
      <w:r>
        <w:t xml:space="preserve">- All current consumers (see table above)</w:t>
      </w:r>
      <w:r>
        <w:t xml:space="preserve"> </w:t>
      </w:r>
      <w:r>
        <w:t xml:space="preserve">- Server-side (Rust, Node.js)</w:t>
      </w:r>
      <w:r>
        <w:t xml:space="preserve"> </w:t>
      </w:r>
      <w:r>
        <w:t xml:space="preserve">- Browser (TypeScript/WASM)</w:t>
      </w:r>
      <w:r>
        <w:t xml:space="preserve"> </w:t>
      </w:r>
      <w:r>
        <w:t xml:space="preserve">- CLI tools (both)</w:t>
      </w:r>
      <w:r>
        <w:t xml:space="preserve"> </w:t>
      </w:r>
      <w:r>
        <w:t xml:space="preserve">- Embedded (Rust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)</w:t>
      </w:r>
      <w:r>
        <w:t xml:space="preserve"> </w:t>
      </w:r>
      <w:r>
        <w:t xml:space="preserve">- Host API products (TypeScript via adapter)</w:t>
      </w:r>
    </w:p>
    <w:p>
      <w:pPr>
        <w:pStyle w:val="BodyText"/>
      </w:pPr>
      <w:r>
        <w:t xml:space="preserve">There is no current consumer that requires Go, Python, or another language. If one emerges, the Rust SDK can be compiled to WASM and wrapped with language-specific bindings, avoiding a full reimplementation.</w:t>
      </w:r>
    </w:p>
    <w:bookmarkEnd w:id="12"/>
    <w:bookmarkEnd w:id="13"/>
    <w:bookmarkStart w:id="14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polkadot-bulletin-chain repo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sdk/rust/          │    │   sdk/typescript/             │     │</w:t>
      </w:r>
      <w:r>
        <w:br/>
      </w:r>
      <w:r>
        <w:rPr>
          <w:rStyle w:val="VerbatimChar"/>
        </w:rPr>
        <w:t xml:space="preserve">│  │   bulletin-sdk-rust  │    │   @bulletin/sdk               │     │</w:t>
      </w:r>
      <w:r>
        <w:br/>
      </w:r>
      <w:r>
        <w:rPr>
          <w:rStyle w:val="VerbatimChar"/>
        </w:rPr>
        <w:t xml:space="preserve">│  │                      │    │                               │     │</w:t>
      </w:r>
      <w:r>
        <w:br/>
      </w:r>
      <w:r>
        <w:rPr>
          <w:rStyle w:val="VerbatimChar"/>
        </w:rPr>
        <w:t xml:space="preserve">│  │  • TransactionClient │    │  • AsyncBulletinClient        │     │</w:t>
      </w:r>
      <w:r>
        <w:br/>
      </w:r>
      <w:r>
        <w:rPr>
          <w:rStyle w:val="VerbatimChar"/>
        </w:rPr>
        <w:t xml:space="preserve">│  │  • CID calculation   │    │  • BulletinPreparer           │     │</w:t>
      </w:r>
      <w:r>
        <w:br/>
      </w:r>
      <w:r>
        <w:rPr>
          <w:rStyle w:val="VerbatimChar"/>
        </w:rPr>
        <w:t xml:space="preserve">│  │  • Error types       │    │  • CID / Chunker / DAG-PB    │     │</w:t>
      </w:r>
      <w:r>
        <w:br/>
      </w:r>
      <w:r>
        <w:rPr>
          <w:rStyle w:val="VerbatimChar"/>
        </w:rPr>
        <w:t xml:space="preserve">│  │  • Event types       │    │  • Error types + events       │     │</w:t>
      </w:r>
      <w:r>
        <w:br/>
      </w:r>
      <w:r>
        <w:rPr>
          <w:rStyle w:val="VerbatimChar"/>
        </w:rPr>
        <w:t xml:space="preserve">│  │  • no_std support    │    │  • Builder pattern API        │     │</w:t>
      </w:r>
      <w:r>
        <w:br/>
      </w:r>
      <w:r>
        <w:rPr>
          <w:rStyle w:val="VerbatimChar"/>
        </w:rPr>
        <w:t xml:space="preserve">│  └──────────┬──────────┘    └──────────────┬────────────────┘     │</w:t>
      </w:r>
      <w:r>
        <w:br/>
      </w:r>
      <w:r>
        <w:rPr>
          <w:rStyle w:val="VerbatimChar"/>
        </w:rPr>
        <w:t xml:space="preserve">│             │                              │                     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│</w:t>
      </w:r>
      <w:r>
        <w:br/>
      </w:r>
      <w:r>
        <w:rPr>
          <w:rStyle w:val="VerbatimChar"/>
        </w:rPr>
        <w:t xml:space="preserve">              │                    ┌─────────┴──────────────────┐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          │</w:t>
      </w:r>
      <w:r>
        <w:br/>
      </w:r>
      <w:r>
        <w:rPr>
          <w:rStyle w:val="VerbatimChar"/>
        </w:rPr>
        <w:t xml:space="preserve">              ▼                    ▼                            ▼</w:t>
      </w:r>
      <w:r>
        <w:br/>
      </w:r>
      <w:r>
        <w:rPr>
          <w:rStyle w:val="VerbatimChar"/>
        </w:rPr>
        <w:t xml:space="preserve">     ┌────────────────┐  ┌────────────────┐        ┌────────────────────┐</w:t>
      </w:r>
      <w:r>
        <w:br/>
      </w:r>
      <w:r>
        <w:rPr>
          <w:rStyle w:val="VerbatimChar"/>
        </w:rPr>
        <w:t xml:space="preserve">     │  Rust consumers │  │  Direct PAPI   │        │  Host API (Product │</w:t>
      </w:r>
      <w:r>
        <w:br/>
      </w:r>
      <w:r>
        <w:rPr>
          <w:rStyle w:val="VerbatimChar"/>
        </w:rPr>
        <w:t xml:space="preserve">     │                 │  │  consumers     │        │  SDK) consumers    │</w:t>
      </w:r>
      <w:r>
        <w:br/>
      </w:r>
      <w:r>
        <w:rPr>
          <w:rStyle w:val="VerbatimChar"/>
        </w:rPr>
        <w:t xml:space="preserve">     │ • Node binary   │  │                │        │                    │</w:t>
      </w:r>
      <w:r>
        <w:br/>
      </w:r>
      <w:r>
        <w:rPr>
          <w:rStyle w:val="VerbatimChar"/>
        </w:rPr>
        <w:t xml:space="preserve">     │ • Integration   │  │ • bulletin-    │        │ @bulletin/         │</w:t>
      </w:r>
      <w:r>
        <w:br/>
      </w:r>
      <w:r>
        <w:rPr>
          <w:rStyle w:val="VerbatimChar"/>
        </w:rPr>
        <w:t xml:space="preserve">     │   tests         │  │   deploy       │        │ sdk-product        │</w:t>
      </w:r>
      <w:r>
        <w:br/>
      </w:r>
      <w:r>
        <w:rPr>
          <w:rStyle w:val="VerbatimChar"/>
        </w:rPr>
        <w:t xml:space="preserve">     │ • Validator     │  │ • dotNS CLI    │        │ (in triangle-      │</w:t>
      </w:r>
      <w:r>
        <w:br/>
      </w:r>
      <w:r>
        <w:rPr>
          <w:rStyle w:val="VerbatimChar"/>
        </w:rPr>
        <w:t xml:space="preserve">     │   tooling       │  │ • Console UI   │        │  js-sdks)          │</w:t>
      </w:r>
      <w:r>
        <w:br/>
      </w:r>
      <w:r>
        <w:rPr>
          <w:rStyle w:val="VerbatimChar"/>
        </w:rPr>
        <w:t xml:space="preserve">     │ • WASM targets  │  │ • Custom dapps │        │                    │</w:t>
      </w:r>
      <w:r>
        <w:br/>
      </w:r>
      <w:r>
        <w:rPr>
          <w:rStyle w:val="VerbatimChar"/>
        </w:rPr>
        <w:t xml:space="preserve">     └────────────────┘  └────────────────┘  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                         │</w:t>
      </w:r>
      <w:r>
        <w:br/>
      </w:r>
      <w:r>
        <w:rPr>
          <w:rStyle w:val="VerbatimChar"/>
        </w:rPr>
        <w:t xml:space="preserve">                          Direct WebSocket            Host API transport</w:t>
      </w:r>
      <w:r>
        <w:br/>
      </w:r>
      <w:r>
        <w:rPr>
          <w:rStyle w:val="VerbatimChar"/>
        </w:rPr>
        <w:t xml:space="preserve">                          to Bulletin node            (no direct connections)</w:t>
      </w:r>
    </w:p>
    <w:bookmarkEnd w:id="14"/>
    <w:bookmarkStart w:id="20" w:name="how-each-consumer-benefits"/>
    <w:p>
      <w:pPr>
        <w:pStyle w:val="Heading2"/>
      </w:pPr>
      <w:r>
        <w:t xml:space="preserve">How Each Consumer Benefits</w:t>
      </w:r>
    </w:p>
    <w:bookmarkStart w:id="15" w:name="bulletin-deploy"/>
    <w:p>
      <w:pPr>
        <w:pStyle w:val="Heading3"/>
      </w:pPr>
      <w:r>
        <w:t xml:space="preserve">bulletin-deploy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 ~300 lines of hand-rolled storage code in</w:t>
      </w:r>
      <w:r>
        <w:t xml:space="preserve"> </w:t>
      </w:r>
      <w:r>
        <w:rPr>
          <w:rStyle w:val="VerbatimChar"/>
        </w:rPr>
        <w:t xml:space="preserve">src/deploy.js</w:t>
      </w:r>
      <w:r>
        <w:t xml:space="preserve"> </w:t>
      </w:r>
      <w:r>
        <w:t xml:space="preserve">— CID creation, chunking, DAG-PB building, transaction watching with manual timeout/retry, pool account management.</w:t>
      </w:r>
    </w:p>
    <w:p>
      <w:pPr>
        <w:pStyle w:val="BodyText"/>
      </w:pPr>
      <w:r>
        <w:rPr>
          <w:b/>
          <w:bCs/>
        </w:rPr>
        <w:t xml:space="preserve">With SDK</w:t>
      </w:r>
      <w:r>
        <w:t xml:space="preserve">: Replace the core storage logic with SDK calls. The pool account management and auto-authorization are deploy-specific concerns that stay, but the storage primitives become: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AsyncBulletinClient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'@bulletin/sdk'</w:t>
      </w:r>
      <w:r>
        <w:br/>
      </w:r>
      <w:r>
        <w:br/>
      </w:r>
      <w:r>
        <w:rPr>
          <w:rStyle w:val="CommentTok"/>
        </w:rPr>
        <w:t xml:space="preserve">// Replace ~200 lines of createCID + watchTransaction + storeBlock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(carChunkBytes)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withCodec</w:t>
      </w:r>
      <w:r>
        <w:rPr>
          <w:rStyle w:val="NormalTok"/>
        </w:rPr>
        <w:t xml:space="preserve">(CidCodec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withHashAlgorithm</w:t>
      </w:r>
      <w:r>
        <w:rPr>
          <w:rStyle w:val="NormalTok"/>
        </w:rPr>
        <w:t xml:space="preserve">(HashAlgorithm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Sha2_256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withCallback</w:t>
      </w:r>
      <w:r>
        <w:rPr>
          <w:rStyle w:val="NormalTok"/>
        </w:rPr>
        <w:t xml:space="preserve">(onProgress)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this eliminates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createCID()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toHashingEnum()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watchTransaction()</w:t>
      </w:r>
      <w:r>
        <w:t xml:space="preserve">, manual</w:t>
      </w:r>
      <w:r>
        <w:t xml:space="preserve"> </w:t>
      </w:r>
      <w:r>
        <w:rPr>
          <w:rStyle w:val="VerbatimChar"/>
        </w:rPr>
        <w:t xml:space="preserve">signSubmitAndWatch</w:t>
      </w:r>
      <w:r>
        <w:t xml:space="preserve"> </w:t>
      </w:r>
      <w:r>
        <w:t xml:space="preserve">subscription handling, dispatch error formatting, timeout logic.</w:t>
      </w:r>
    </w:p>
    <w:bookmarkEnd w:id="15"/>
    <w:bookmarkStart w:id="16" w:name="dotns-cli-sdk"/>
    <w:p>
      <w:pPr>
        <w:pStyle w:val="Heading3"/>
      </w:pPr>
      <w:r>
        <w:t xml:space="preserve">dotNS CLI / SDK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packages/cli/src/bulletin/store.ts</w:t>
      </w:r>
      <w:r>
        <w:t xml:space="preserve"> </w:t>
      </w:r>
      <w:r>
        <w:t xml:space="preserve">contains ~350 lines that duplicate the SDK’s functionality —</w:t>
      </w:r>
      <w:r>
        <w:t xml:space="preserve"> </w:t>
      </w:r>
      <w:r>
        <w:rPr>
          <w:rStyle w:val="VerbatimChar"/>
        </w:rPr>
        <w:t xml:space="preserve">storeContentOnBulletin()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storeSingleFileToBulletin()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storeChunkedFileToBulletin()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storeBatchedBlocksToBulletin()</w:t>
      </w:r>
      <w:r>
        <w:t xml:space="preserve">, plus CID utilities in</w:t>
      </w:r>
      <w:r>
        <w:t xml:space="preserve"> </w:t>
      </w:r>
      <w:r>
        <w:rPr>
          <w:rStyle w:val="VerbatimChar"/>
        </w:rPr>
        <w:t xml:space="preserve">cid.ts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With SDK</w:t>
      </w:r>
      <w:r>
        <w:t xml:space="preserve">: The entire</w:t>
      </w:r>
      <w:r>
        <w:t xml:space="preserve"> </w:t>
      </w:r>
      <w:r>
        <w:rPr>
          <w:rStyle w:val="VerbatimChar"/>
        </w:rPr>
        <w:t xml:space="preserve">src/bulletin/</w:t>
      </w:r>
      <w:r>
        <w:t xml:space="preserve"> </w:t>
      </w:r>
      <w:r>
        <w:t xml:space="preserve">directory can be replaced with SDK imports: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AsyncBulletinClient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CidCodec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HashAlgorithm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'@bulletin/sdk'</w:t>
      </w:r>
      <w:r>
        <w:br/>
      </w:r>
      <w:r>
        <w:br/>
      </w:r>
      <w:r>
        <w:rPr>
          <w:rStyle w:val="CommentTok"/>
        </w:rPr>
        <w:t xml:space="preserve">// storeSingleFileToBulletin → client.store(data).send()</w:t>
      </w:r>
      <w:r>
        <w:br/>
      </w:r>
      <w:r>
        <w:rPr>
          <w:rStyle w:val="CommentTok"/>
        </w:rPr>
        <w:t xml:space="preserve">// storeChunkedFileToBulletin → client.store(largeData).withChunkSize(1024*1024).send()</w:t>
      </w:r>
      <w:r>
        <w:br/>
      </w:r>
      <w:r>
        <w:rPr>
          <w:rStyle w:val="CommentTok"/>
        </w:rPr>
        <w:t xml:space="preserve">// createRawCid / createDagPbCid → calculateCid() / getContentHash()</w:t>
      </w:r>
    </w:p>
    <w:p>
      <w:pPr>
        <w:pStyle w:val="FirstParagraph"/>
      </w:pPr>
      <w:r>
        <w:rPr>
          <w:b/>
          <w:bCs/>
        </w:rPr>
        <w:t xml:space="preserve">What this eliminates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splitBytesIntoChunks()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convertHashCodeToEnum()</w:t>
      </w:r>
      <w:r>
        <w:t xml:space="preserve">, manual DAG-PB construction, manual transaction subscription handling,</w:t>
      </w:r>
      <w:r>
        <w:t xml:space="preserve"> </w:t>
      </w:r>
      <w:r>
        <w:rPr>
          <w:rStyle w:val="VerbatimChar"/>
        </w:rPr>
        <w:t xml:space="preserve">storeContentOnBulletin()</w:t>
      </w:r>
      <w:r>
        <w:t xml:space="preserve"> </w:t>
      </w:r>
      <w:r>
        <w:t xml:space="preserve">with all its options.</w:t>
      </w:r>
    </w:p>
    <w:bookmarkEnd w:id="16"/>
    <w:bookmarkStart w:id="17" w:name="console-ui"/>
    <w:p>
      <w:pPr>
        <w:pStyle w:val="Heading3"/>
      </w:pPr>
      <w:r>
        <w:t xml:space="preserve">Console UI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 Already migrated. The Console UI uses the SDK for all write operations (Upload, Renew, Authorizations) and CID calculation.</w:t>
      </w:r>
    </w:p>
    <w:p>
      <w:pPr>
        <w:pStyle w:val="BodyText"/>
      </w:pPr>
      <w:r>
        <w:rPr>
          <w:b/>
          <w:bCs/>
        </w:rPr>
        <w:t xml:space="preserve">What changed</w:t>
      </w:r>
      <w:r>
        <w:t xml:space="preserve">: Removed ~130 lines of</w:t>
      </w:r>
      <w:r>
        <w:t xml:space="preserve"> </w:t>
      </w:r>
      <w:r>
        <w:rPr>
          <w:rStyle w:val="VerbatimChar"/>
        </w:rPr>
        <w:t xml:space="preserve">lib/cid.ts</w:t>
      </w:r>
      <w:r>
        <w:t xml:space="preserve"> </w:t>
      </w:r>
      <w:r>
        <w:t xml:space="preserve">and manual PAPI transaction handling. All storage operations now go through the SDK’s builder pattern with progress callbacks.</w:t>
      </w:r>
    </w:p>
    <w:bookmarkEnd w:id="17"/>
    <w:bookmarkStart w:id="18" w:name="product-sdk-via-host-api-adapter"/>
    <w:p>
      <w:pPr>
        <w:pStyle w:val="Heading3"/>
      </w:pPr>
      <w:r>
        <w:t xml:space="preserve">Product SDK (via Host API adapter)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 Not yet implemented. Products running inside Nova Spektr currently cannot interact with Bulletin Chain.</w:t>
      </w:r>
    </w:p>
    <w:p>
      <w:pPr>
        <w:pStyle w:val="BodyText"/>
      </w:pPr>
      <w:r>
        <w:rPr>
          <w:b/>
          <w:bCs/>
        </w:rPr>
        <w:t xml:space="preserve">With SDK adapter</w:t>
      </w:r>
      <w:r>
        <w:t xml:space="preserve">: A thin</w:t>
      </w:r>
      <w:r>
        <w:t xml:space="preserve"> </w:t>
      </w:r>
      <w:r>
        <w:rPr>
          <w:rStyle w:val="VerbatimChar"/>
        </w:rPr>
        <w:t xml:space="preserve">@bulletin/sdk-product</w:t>
      </w:r>
      <w:r>
        <w:t xml:space="preserve"> </w:t>
      </w:r>
      <w:r>
        <w:t xml:space="preserve">package in the</w:t>
      </w:r>
      <w:r>
        <w:t xml:space="preserve"> </w:t>
      </w:r>
      <w:r>
        <w:rPr>
          <w:rStyle w:val="VerbatimChar"/>
        </w:rPr>
        <w:t xml:space="preserve">triangle-js-sdks</w:t>
      </w:r>
      <w:r>
        <w:t xml:space="preserve"> </w:t>
      </w:r>
      <w:r>
        <w:t xml:space="preserve">monorepo wires</w:t>
      </w:r>
      <w:r>
        <w:t xml:space="preserve"> </w:t>
      </w:r>
      <w:r>
        <w:rPr>
          <w:rStyle w:val="VerbatimChar"/>
        </w:rPr>
        <w:t xml:space="preserve">@bulletin/sdk</w:t>
      </w:r>
      <w:r>
        <w:t xml:space="preserve"> </w:t>
      </w:r>
      <w:r>
        <w:t xml:space="preserve">to the Host API: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createBulletinProductClient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'@bulletin/sdk-product'</w:t>
      </w:r>
      <w:r>
        <w:br/>
      </w:r>
      <w:r>
        <w:br/>
      </w:r>
      <w:r>
        <w:rPr>
          <w:rStyle w:val="CommentTok"/>
        </w:rPr>
        <w:t xml:space="preserve">// All calls route through Host API — no direct WebSocket connections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createBulletinProductClient</w:t>
      </w:r>
      <w:r>
        <w:rPr>
          <w:rStyle w:val="NormalTok"/>
        </w:rPr>
        <w:t xml:space="preserve">({ signer })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adapter is possible because</w:t>
      </w:r>
      <w:r>
        <w:t xml:space="preserve"> </w:t>
      </w:r>
      <w:r>
        <w:rPr>
          <w:rStyle w:val="VerbatimChar"/>
        </w:rPr>
        <w:t xml:space="preserve">AsyncBulletinClient</w:t>
      </w:r>
      <w:r>
        <w:t xml:space="preserve"> </w:t>
      </w:r>
      <w:r>
        <w:t xml:space="preserve">accepts abstract PAPI interfaces (</w:t>
      </w:r>
      <w:r>
        <w:rPr>
          <w:rStyle w:val="VerbatimChar"/>
        </w:rPr>
        <w:t xml:space="preserve">BulletinTypedApi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PolkadotSigner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SubmitFn</w:t>
      </w:r>
      <w:r>
        <w:t xml:space="preserve">), not concrete providers. The Product SDK’s</w:t>
      </w:r>
      <w:r>
        <w:t xml:space="preserve"> </w:t>
      </w:r>
      <w:r>
        <w:rPr>
          <w:rStyle w:val="VerbatimChar"/>
        </w:rPr>
        <w:t xml:space="preserve">createPapiProvider()</w:t>
      </w:r>
      <w:r>
        <w:t xml:space="preserve"> </w:t>
      </w:r>
      <w:r>
        <w:t xml:space="preserve">returns a standard PAPI</w:t>
      </w:r>
      <w:r>
        <w:t xml:space="preserve"> </w:t>
      </w:r>
      <w:r>
        <w:rPr>
          <w:rStyle w:val="VerbatimChar"/>
        </w:rPr>
        <w:t xml:space="preserve">JsonRpcProvider</w:t>
      </w:r>
      <w:r>
        <w:t xml:space="preserve"> </w:t>
      </w:r>
      <w:r>
        <w:t xml:space="preserve">that routes JSON-RPC through the Host API transport. From the SDK’s perspective, it’s the same interface — it doesn’t know or care whether the underlying transport is a WebSocket or the Host API.</w:t>
      </w:r>
    </w:p>
    <w:p>
      <w:pPr>
        <w:pStyle w:val="BodyText"/>
      </w:pPr>
      <w:r>
        <w:rPr>
          <w:b/>
          <w:bCs/>
        </w:rPr>
        <w:t xml:space="preserve">Key constraint</w:t>
      </w:r>
      <w:r>
        <w:t xml:space="preserve">: Products cannot make direct connections. All chain interactions (transaction submission, storage queries, event subscriptions) must go through the Host API. The SDK’s transport-agnostic design makes this possible without any code changes to the core package.</w:t>
      </w:r>
    </w:p>
    <w:bookmarkEnd w:id="18"/>
    <w:bookmarkStart w:id="19" w:name="rust-consumers"/>
    <w:p>
      <w:pPr>
        <w:pStyle w:val="Heading3"/>
      </w:pPr>
      <w:r>
        <w:t xml:space="preserve">Rust Consumers</w:t>
      </w:r>
    </w:p>
    <w:p>
      <w:pPr>
        <w:pStyle w:val="FirstParagraph"/>
      </w:pPr>
      <w:r>
        <w:rPr>
          <w:b/>
          <w:bCs/>
        </w:rPr>
        <w:t xml:space="preserve">Node integration tests</w:t>
      </w:r>
      <w:r>
        <w:t xml:space="preserve">: The Rust SDK provides</w:t>
      </w:r>
      <w:r>
        <w:t xml:space="preserve"> </w:t>
      </w:r>
      <w:r>
        <w:rPr>
          <w:rStyle w:val="VerbatimChar"/>
        </w:rPr>
        <w:t xml:space="preserve">TransactionClient</w:t>
      </w:r>
      <w:r>
        <w:t xml:space="preserve"> </w:t>
      </w:r>
      <w:r>
        <w:t xml:space="preserve">for submitting real extrinsics in end-to-end tests against a running node, with proper error types that match the pallet’s error enum.</w:t>
      </w:r>
    </w:p>
    <w:p>
      <w:pPr>
        <w:pStyle w:val="BodyText"/>
      </w:pPr>
      <w:r>
        <w:rPr>
          <w:b/>
          <w:bCs/>
        </w:rPr>
        <w:t xml:space="preserve">Validator tooling</w:t>
      </w:r>
      <w:r>
        <w:t xml:space="preserve">: Authorization management (granting, refreshing, revoking storage quotas) uses the Rust SDK’s</w:t>
      </w:r>
      <w:r>
        <w:t xml:space="preserve"> </w:t>
      </w:r>
      <w:r>
        <w:rPr>
          <w:rStyle w:val="VerbatimChar"/>
        </w:rPr>
        <w:t xml:space="preserve">authorize_account()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refresh_account_authorization()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remove_expired_account_authorization()</w:t>
      </w:r>
      <w:r>
        <w:t xml:space="preserve"> </w:t>
      </w:r>
      <w:r>
        <w:t xml:space="preserve">methods.</w:t>
      </w:r>
    </w:p>
    <w:bookmarkEnd w:id="19"/>
    <w:bookmarkEnd w:id="20"/>
    <w:bookmarkStart w:id="21" w:name="maintaining-consistency-from-one-place"/>
    <w:p>
      <w:pPr>
        <w:pStyle w:val="Heading2"/>
      </w:pPr>
      <w:r>
        <w:t xml:space="preserve">Maintaining Consistency from One Place</w:t>
      </w:r>
    </w:p>
    <w:p>
      <w:pPr>
        <w:pStyle w:val="FirstParagraph"/>
      </w:pPr>
      <w:r>
        <w:t xml:space="preserve">Both SDKs live in the same repository (</w:t>
      </w:r>
      <w:r>
        <w:rPr>
          <w:rStyle w:val="VerbatimChar"/>
        </w:rPr>
        <w:t xml:space="preserve">polkadot-bulletin-chain/sdk/</w:t>
      </w:r>
      <w:r>
        <w:t xml:space="preserve">) alongside the pallet they interact with. This co-location is intentional: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Pallet changes propagate immediately.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TransactionStorage</w:t>
      </w:r>
      <w:r>
        <w:t xml:space="preserve"> </w:t>
      </w:r>
      <w:r>
        <w:t xml:space="preserve">pallet’s interface changes (new extrinsic, renamed field, updated error enum), the SDKs are updated in the same PR. There is no</w:t>
      </w:r>
      <w:r>
        <w:t xml:space="preserve"> </w:t>
      </w:r>
      <w:r>
        <w:t xml:space="preserve">“update the SDK later”</w:t>
      </w:r>
      <w:r>
        <w:t xml:space="preserve"> </w:t>
      </w:r>
      <w:r>
        <w:t xml:space="preserve">step.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Error codes are consistent.</w:t>
      </w:r>
      <w:r>
        <w:t xml:space="preserve"> </w:t>
      </w:r>
      <w:r>
        <w:t xml:space="preserve">The Rust</w:t>
      </w:r>
      <w:r>
        <w:t xml:space="preserve"> </w:t>
      </w:r>
      <w:r>
        <w:rPr>
          <w:rStyle w:val="VerbatimChar"/>
        </w:rPr>
        <w:t xml:space="preserve">Error::code()</w:t>
      </w:r>
      <w:r>
        <w:t xml:space="preserve"> </w:t>
      </w:r>
      <w:r>
        <w:t xml:space="preserve">method returns the same</w:t>
      </w:r>
      <w:r>
        <w:t xml:space="preserve"> </w:t>
      </w:r>
      <w:r>
        <w:rPr>
          <w:rStyle w:val="VerbatimChar"/>
        </w:rPr>
        <w:t xml:space="preserve">SCREAMING_SNAKE_CASE</w:t>
      </w:r>
      <w:r>
        <w:t xml:space="preserve"> </w:t>
      </w:r>
      <w:r>
        <w:t xml:space="preserve">string as the TypeScript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enum. Adding a new error means updating both SDKs in one commit, with CI enforcing that tests pass for both.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Event types mirror each other.</w:t>
      </w:r>
      <w:r>
        <w:t xml:space="preserve"> </w:t>
      </w:r>
      <w:r>
        <w:rPr>
          <w:rStyle w:val="VerbatimChar"/>
        </w:rPr>
        <w:t xml:space="preserve">TransactionStatusEvent</w:t>
      </w:r>
      <w:r>
        <w:t xml:space="preserve"> </w:t>
      </w:r>
      <w:r>
        <w:t xml:space="preserve">variants (</w:t>
      </w:r>
      <w:r>
        <w:rPr>
          <w:rStyle w:val="VerbatimChar"/>
        </w:rPr>
        <w:t xml:space="preserve">Validated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InBestBlock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 have the same semantics in both languages. The Rust SDK uses an enum; the TypeScript SDK uses a discriminated union with string enum discriminants.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Single CI pipeline.</w:t>
      </w:r>
      <w:r>
        <w:t xml:space="preserve"> </w:t>
      </w:r>
      <w:r>
        <w:t xml:space="preserve">Both SDKs are tested in the same CI workflow. A pallet change that breaks either SDK fails the build before merge.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One review process.</w:t>
      </w:r>
      <w:r>
        <w:t xml:space="preserve"> </w:t>
      </w:r>
      <w:r>
        <w:t xml:space="preserve">Contributors reviewing a pallet change can see the SDK impact in the same diff. There is no cross-repo coordination needed.</w:t>
      </w:r>
    </w:p>
    <w:p>
      <w:pPr>
        <w:pStyle w:val="FirstParagraph"/>
      </w:pPr>
      <w:r>
        <w:t xml:space="preserve">The downstream consumers (</w:t>
      </w:r>
      <w:r>
        <w:rPr>
          <w:rStyle w:val="VerbatimChar"/>
        </w:rPr>
        <w:t xml:space="preserve">bulletin-deploy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dotNS-SDK</w:t>
      </w:r>
      <w:r>
        <w:t xml:space="preserve">, Product SDK adapter) are separate repositories because they have their own release cycles, dependencies, and concerns. But the core protocol logic they all depend on — CID calculation, chunking, DAG-PB encoding, transaction submission — is maintained exactly once.</w:t>
      </w:r>
    </w:p>
    <w:bookmarkEnd w:id="21"/>
    <w:bookmarkStart w:id="22" w:name="sdk-feature-matrix"/>
    <w:p>
      <w:pPr>
        <w:pStyle w:val="Heading2"/>
      </w:pPr>
      <w:r>
        <w:t xml:space="preserve">SDK Feature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Rust SDK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TypeScript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data (single transaction)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with CID config (codec + hash)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chunking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caller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(built-in)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DAG-PB manifest generation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caller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(built-in)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 calculation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cid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rPr>
                <w:rStyle w:val="VerbatimChar"/>
              </w:rPr>
              <w:t xml:space="preserve">calculateCid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getContentHash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progress tracking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(callbacks)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(callbacks +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 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(direct methods)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codes (consistent)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Error::code()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ErrorCode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types (consistent)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TransactionStatusEvent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TransactionStatusEvent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Retryable error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is_retryable()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.retryable</w:t>
            </w:r>
            <w:r>
              <w:t xml:space="preserve"> </w:t>
            </w:r>
            <w:r>
              <w:t xml:space="preserve">getter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hints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recovery_hint()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.recoveryHint</w:t>
            </w:r>
            <w:r>
              <w:t xml:space="preserve"> </w:t>
            </w:r>
            <w:r>
              <w:t xml:space="preserve">getter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no_std</w:t>
            </w:r>
            <w:r>
              <w:t xml:space="preserve"> </w:t>
            </w:r>
            <w:r>
              <w:t xml:space="preserve">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WASM 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 (runs in browser natively)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API compatibility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(via adapter)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preparation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rPr>
                <w:rStyle w:val="VerbatimChar"/>
              </w:rPr>
              <w:t xml:space="preserve">BulletinPreparer</w:t>
            </w:r>
            <w:r>
              <w:t xml:space="preserve">)</w:t>
            </w:r>
          </w:p>
        </w:tc>
      </w:tr>
    </w:tbl>
    <w:bookmarkEnd w:id="22"/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Bulletin SDK exists in two languages because the Bulletin Chain ecosystem spans two runtime environments: Rust (infrastructure, node, testing) and TypeScript (tools, web apps, products). Maintaining both SDKs in one repository alongside the pallet they serve ensures consistency, eliminates protocol drift, and gives every consumer — from a CLI deploy tool to a product running inside Nova Spektr — the same correct, tested implementation of Bulletin Chain’s storage protocol.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2026-03-24T08:22:38Z</dcterms:created>
  <dcterms:modified xsi:type="dcterms:W3CDTF">2026-03-24T08:22:38Z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