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936240"/>
            <wp:effectExtent l="0" t="0" r="2540" b="10160"/>
            <wp:docPr id="1" name="图片 1" descr="2022071916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207191612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01925"/>
            <wp:effectExtent l="0" t="0" r="3810" b="3175"/>
            <wp:docPr id="2" name="图片 2" descr="2022071916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207191614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750820"/>
            <wp:effectExtent l="0" t="0" r="635" b="5080"/>
            <wp:docPr id="3" name="图片 3" descr="20220719161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207191618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注意：这里要记住这里子网掩码对应的十进制数值，就是上述的表格要烂熟于心。（其实就是128+64+32+16+8+4+2+1，255-1-2-4--8-16=32-64，按照这两种种规律稍微记住几个就可以，其他的直接就能够得到）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519555"/>
            <wp:effectExtent l="0" t="0" r="0" b="4445"/>
            <wp:docPr id="4" name="图片 4" descr="20220719162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207191620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①255-1-2=252，故子网掩码中第3段为“1111 1111 -----&gt; 1111 1100”,将“1111 1100”与“77 = 0100 1101”相与得到“0100 1100 = 76”，故子网号为“180.80.76.0 / 22”。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②主机号全1，网络号不变为“180.80.79.255”，故目的地址为“180.80.79.255”。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856230"/>
            <wp:effectExtent l="0" t="0" r="10795" b="1270"/>
            <wp:docPr id="5" name="图片 5" descr="2022071916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207191623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①如果转发表中有那个IP地址就按照那一表项对应的步骤进行处理就可以了。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②将目的IP地址依次与路由表中的每一个表项的“子网掩码”进行相与，如果与该目的地址与自己的子网掩码相与的结果一样，就按照那个表项进行操作，如果都不一样就按照默认路由进行操作。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无分类编址CIDR：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728595"/>
            <wp:effectExtent l="0" t="0" r="11430" b="1905"/>
            <wp:docPr id="6" name="图片 6" descr="2022071916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207191638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无分类编址CIDR的两个应用：构成超网、最长前缀匹配。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892425"/>
            <wp:effectExtent l="0" t="0" r="5080" b="3175"/>
            <wp:docPr id="7" name="图片 7" descr="2022071916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207191640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当路由表中有多个子网时，我们对可以具有相同前缀的子网进行聚合，将这多个子网构成一个超网，这样路由表中原来几个表项就变成了一个表项。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099435"/>
            <wp:effectExtent l="0" t="0" r="10795" b="12065"/>
            <wp:docPr id="8" name="图片 8" descr="20220719164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207191642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我们找到这4个网络极大的相同前缀就可以了，这4个网络中“35与230”都一样，看第3个。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32：0010 0000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40：0010 1000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48：0011 0000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56：0011 1000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因此，相同的为001。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则路由聚合后的目的网络地址为“35.230.0010 0000.0 = 35.230.32.0”。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47010"/>
            <wp:effectExtent l="0" t="0" r="3810" b="8890"/>
            <wp:docPr id="10" name="图片 10" descr="2022071916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2207191657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05430"/>
            <wp:effectExtent l="0" t="0" r="3810" b="1270"/>
            <wp:docPr id="9" name="图片 9" descr="2022071916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207191647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①先看第1个，将目的网络“132.0.0.0 / 8”的子网掩码“1111 1111.0.0.0”与“132.19.237.5”相与，为“132.0.0.0”，与目的网络相匹配，先待定。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②再看第2个，将目的网络“132.0.0.0 / 11”的子网掩码“1111 1111.1110 0000.0000 0000”与“132.19.237.5”相与，因“19 = 0001 0011”与“1110 0000”相与得</w:t>
      </w:r>
      <w:bookmarkStart w:id="0" w:name="_GoBack"/>
      <w:bookmarkEnd w:id="0"/>
      <w:r>
        <w:rPr>
          <w:rFonts w:hint="eastAsia"/>
          <w:lang w:val="en-US" w:eastAsia="zh-CN"/>
        </w:rPr>
        <w:t>到“0000 0000”，故最终相与得到的结果为“132.0.0.0”，与目的网络相匹配，先待定。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③再看第3个，发送将子网掩码“/22”与“132.19.237.5”相与后与“132.10.232.0”不一样，因此不匹配。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④我们应该选择能够匹配的且前缀最长的，因此选择R2。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xMDUyNWQ3MmMzMDA4MTMxZmFkYzJiOTQ3MDcxMTgifQ=="/>
  </w:docVars>
  <w:rsids>
    <w:rsidRoot w:val="00000000"/>
    <w:rsid w:val="313B3EF5"/>
    <w:rsid w:val="4213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片"/>
    <w:next w:val="1"/>
    <w:qFormat/>
    <w:uiPriority w:val="0"/>
    <w:pPr>
      <w:spacing w:before="156" w:line="240" w:lineRule="auto"/>
      <w:jc w:val="center"/>
    </w:pPr>
    <w:rPr>
      <w:rFonts w:hint="eastAsia" w:ascii="宋体" w:hAnsi="宋体" w:eastAsia="宋体" w:cstheme="minorBidi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2022-04-15T09:48:00Z</dcterms:created>
  <dc:creator>86185</dc:creator>
  <cp:lastModifiedBy>刘冰羽</cp:lastModifiedBy>
  <dcterms:modified xsi:type="dcterms:W3CDTF">2022-07-19T09:09:15Z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21A3A78A47B14DAD9C4754AC3B8102E5</vt:lpwstr>
  </property>
</Properties>
</file>