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Microsoft YaHei" w:hAnsi="Microsoft YaHei" w:eastAsia="Microsoft YaHei"/>
          <w:b/>
          <w:color w:val="1C355C"/>
          <w:sz w:val="60"/>
        </w:rPr>
        <w:t>CodeFlow Guard</w:t>
      </w:r>
    </w:p>
    <w:p>
      <w:pPr>
        <w:jc w:val="center"/>
      </w:pPr>
      <w:r>
        <w:rPr>
          <w:rFonts w:ascii="Microsoft YaHei" w:hAnsi="Microsoft YaHei" w:eastAsia="Microsoft YaHei"/>
          <w:color w:val="455873"/>
          <w:sz w:val="28"/>
        </w:rPr>
        <w:t>面向合并前变更审查的多语言风险守门 Skill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C355C"/>
                <w:sz w:val="21"/>
              </w:rPr>
              <w:t>作品定位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CodeFlow Guard 是一个 CodeBuddy Skill，面向研发团队的合并前代码审查、发布前检查和安全质量门禁。它通过脚本稳定采集 Git 变更事实，再由 LLM 结合风险规则输出结构化审查报告。</w:t>
            </w:r>
          </w:p>
        </w:tc>
      </w:tr>
    </w:tbl>
    <w:p>
      <w:pPr>
        <w:pStyle w:val="SmallCaption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08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作品类型</w:t>
            </w:r>
          </w:p>
        </w:tc>
        <w:tc>
          <w:tcPr>
            <w:tcW w:type="dxa" w:w="820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CodeBuddy Skill / AI 代码审查助手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核心场景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代码评审、合并前检查、发布前质量门禁、安全合规巡检</w:t>
            </w:r>
          </w:p>
        </w:tc>
      </w:tr>
      <w:tr>
        <w:tc>
          <w:tcPr>
            <w:tcW w:type="dxa" w:w="187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支持示例</w:t>
            </w:r>
          </w:p>
        </w:tc>
        <w:tc>
          <w:tcPr>
            <w:tcW w:type="dxa" w:w="820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JavaScript / Node.js、Go、Python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核心输出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风险等级、Top 修复项、变更摘要、测试建议、合并建议、复审标准</w:t>
            </w:r>
          </w:p>
        </w:tc>
      </w:tr>
    </w:tbl>
    <w:p>
      <w:pPr>
        <w:pStyle w:val="SmallCaption"/>
      </w:pPr>
    </w:p>
    <w:p>
      <w:pPr>
        <w:pStyle w:val="SmallCaption"/>
        <w:jc w:val="center"/>
      </w:pPr>
      <w:r>
        <w:t>提交材料说明：本文档用于腾讯黑客松作品说明，重点描述作品功能、技术亮点、使用场景与验证结果。</w:t>
      </w:r>
    </w:p>
    <w:p>
      <w:r>
        <w:br w:type="page"/>
      </w:r>
    </w:p>
    <w:p>
      <w:pPr>
        <w:pStyle w:val="Heading1"/>
        <w:spacing w:before="160" w:after="80"/>
      </w:pPr>
      <w:r>
        <w:t>1. 作品简介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C355C"/>
                <w:sz w:val="21"/>
              </w:rPr>
              <w:t>一句话简介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CodeFlow Guard 将“脚本采集事实”和“LLM 风险判断”拆分开，让代码审查报告既有稳定证据，又能给出可执行的修复、测试和合并建议。</w:t>
            </w:r>
          </w:p>
        </w:tc>
      </w:tr>
    </w:tbl>
    <w:p>
      <w:pPr>
        <w:pStyle w:val="SmallCaption"/>
      </w:pPr>
    </w:p>
    <w:p>
      <w:pPr>
        <w:ind w:firstLine="403"/>
      </w:pPr>
      <w:r>
        <w:t>在真实研发协作中，代码合并前常见的问题包括认证绕过、硬编码密钥、资金计算异常、日志泄露、异常处理缺失和关键测试被跳过。传统人工审查依赖经验，容易漏掉跨文件、跨语言或测试覆盖相关的风险。CodeFlow Guard 通过 Skill 指令、采集脚本、风险规则和输出模板形成完整审查流程，帮助团队在合并前快速发现高风险问题。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目标用户</w:t>
            </w:r>
          </w:p>
        </w:tc>
        <w:tc>
          <w:tcPr>
            <w:tcW w:type="dxa" w:w="3168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4896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产出价值</w:t>
            </w:r>
          </w:p>
        </w:tc>
      </w:tr>
      <w:tr>
        <w:tc>
          <w:tcPr>
            <w:tcW w:type="dxa" w:w="172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开发者</w:t>
            </w:r>
          </w:p>
        </w:tc>
        <w:tc>
          <w:tcPr>
            <w:tcW w:type="dxa" w:w="316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提交代码前自查</w:t>
            </w:r>
          </w:p>
        </w:tc>
        <w:tc>
          <w:tcPr>
            <w:tcW w:type="dxa" w:w="489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提前发现阻断合并的问题，减少返工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Reviewer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 / commit 审查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快速获得风险清单、证据行号和测试建议</w:t>
            </w:r>
          </w:p>
        </w:tc>
      </w:tr>
      <w:tr>
        <w:tc>
          <w:tcPr>
            <w:tcW w:type="dxa" w:w="172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团队负责人</w:t>
            </w:r>
          </w:p>
        </w:tc>
        <w:tc>
          <w:tcPr>
            <w:tcW w:type="dxa" w:w="316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发布前质量门禁</w:t>
            </w:r>
          </w:p>
        </w:tc>
        <w:tc>
          <w:tcPr>
            <w:tcW w:type="dxa" w:w="489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统一风险口径，降低安全和生产事故概率</w:t>
            </w:r>
          </w:p>
        </w:tc>
      </w:tr>
    </w:tbl>
    <w:p>
      <w:pPr>
        <w:pStyle w:val="SmallCaption"/>
      </w:pPr>
    </w:p>
    <w:p>
      <w:pPr>
        <w:pStyle w:val="Heading1"/>
        <w:spacing w:before="160" w:after="80"/>
      </w:pPr>
      <w:r>
        <w:t>2. 核心功能</w:t>
      </w:r>
    </w:p>
    <w:p>
      <w:pPr>
        <w:pStyle w:val="ListBullet"/>
        <w:spacing w:after="40"/>
        <w:ind w:left="259"/>
      </w:pPr>
      <w:r>
        <w:rPr>
          <w:rFonts w:ascii="Microsoft YaHei" w:hAnsi="Microsoft YaHei" w:eastAsia="Microsoft YaHei"/>
          <w:sz w:val="19"/>
        </w:rPr>
        <w:t>自动采集 Git 状态、diff、文件快照、行号锚点、语法检查、测试结果和疑似风险信号。</w:t>
      </w:r>
    </w:p>
    <w:p>
      <w:pPr>
        <w:pStyle w:val="ListBullet"/>
        <w:spacing w:after="40"/>
        <w:ind w:left="259"/>
      </w:pPr>
      <w:r>
        <w:rPr>
          <w:rFonts w:ascii="Microsoft YaHei" w:hAnsi="Microsoft YaHei" w:eastAsia="Microsoft YaHei"/>
          <w:sz w:val="19"/>
        </w:rPr>
        <w:t>识别认证绕过、硬编码凭据、敏感日志、订单金额/优惠券风险、JSON 异常处理缺失、跳过关键测试等问题。</w:t>
      </w:r>
    </w:p>
    <w:p>
      <w:pPr>
        <w:pStyle w:val="ListBullet"/>
        <w:spacing w:after="40"/>
        <w:ind w:left="259"/>
      </w:pPr>
      <w:r>
        <w:rPr>
          <w:rFonts w:ascii="Microsoft YaHei" w:hAnsi="Microsoft YaHei" w:eastAsia="Microsoft YaHei"/>
          <w:sz w:val="19"/>
        </w:rPr>
        <w:t>输出 P0-P3 风险等级、Top 3 必须修复项、文件级变更摘要、关键风险卡片、测试建议和合并前检查清单。</w:t>
      </w:r>
    </w:p>
    <w:p>
      <w:pPr>
        <w:pStyle w:val="ListBullet"/>
        <w:spacing w:after="40"/>
        <w:ind w:left="259"/>
      </w:pPr>
      <w:r>
        <w:rPr>
          <w:rFonts w:ascii="Microsoft YaHei" w:hAnsi="Microsoft YaHei" w:eastAsia="Microsoft YaHei"/>
          <w:sz w:val="19"/>
        </w:rPr>
        <w:t>支持当前变更审查、指定路径审查和 diff=0 静态巡检，并明确区分“当前 diff 风险”和“当前文件内容风险”。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风险类别</w:t>
            </w:r>
          </w:p>
        </w:tc>
        <w:tc>
          <w:tcPr>
            <w:tcW w:type="dxa" w:w="3888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检测示例</w:t>
            </w:r>
          </w:p>
        </w:tc>
        <w:tc>
          <w:tcPr>
            <w:tcW w:type="dxa" w:w="4320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输出价值</w:t>
            </w:r>
          </w:p>
        </w:tc>
      </w:tr>
      <w:tr>
        <w:tc>
          <w:tcPr>
            <w:tcW w:type="dxa" w:w="187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阻断风险</w:t>
            </w:r>
          </w:p>
        </w:tc>
        <w:tc>
          <w:tcPr>
            <w:tcW w:type="dxa" w:w="388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认证绕过、硬编码密钥、零元下单</w:t>
            </w:r>
          </w:p>
        </w:tc>
        <w:tc>
          <w:tcPr>
            <w:tcW w:type="dxa" w:w="432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直接给出不建议合并和必须修复项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 高风险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折扣无上限、debug 绕过校验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要求修复或提供明确豁免</w:t>
            </w:r>
          </w:p>
        </w:tc>
      </w:tr>
      <w:tr>
        <w:tc>
          <w:tcPr>
            <w:tcW w:type="dxa" w:w="187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 中风险</w:t>
            </w:r>
          </w:p>
        </w:tc>
        <w:tc>
          <w:tcPr>
            <w:tcW w:type="dxa" w:w="388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日志泄露、异常处理缺失</w:t>
            </w:r>
          </w:p>
        </w:tc>
        <w:tc>
          <w:tcPr>
            <w:tcW w:type="dxa" w:w="432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给出补测和修复建议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测试风险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test.skip / t.Skip / pytest.mark.skip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区分扫描总数与本次需处理数量</w:t>
            </w:r>
          </w:p>
        </w:tc>
      </w:tr>
    </w:tbl>
    <w:p>
      <w:pPr>
        <w:pStyle w:val="SmallCaption"/>
      </w:pPr>
    </w:p>
    <w:p>
      <w:r>
        <w:br w:type="page"/>
      </w:r>
    </w:p>
    <w:p>
      <w:pPr>
        <w:pStyle w:val="Heading1"/>
        <w:spacing w:before="160" w:after="80"/>
      </w:pPr>
      <w:r>
        <w:t>3. 技术方案与架构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C355C"/>
                <w:sz w:val="21"/>
              </w:rPr>
              <w:t>设计原则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脚本只负责采集事实和疑似信号，不直接判定 P0/P1/P2/P3，也不给合并建议；最终风险等级和合并建议由 LLM 基于风险规则、上下文证据和输出模板判断。</w:t>
            </w:r>
          </w:p>
        </w:tc>
      </w:tr>
    </w:tbl>
    <w:p>
      <w:pPr>
        <w:pStyle w:val="SmallCaption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96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 / 目录</w:t>
            </w:r>
          </w:p>
        </w:tc>
        <w:tc>
          <w:tcPr>
            <w:tcW w:type="dxa" w:w="5256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Skill 指令层</w:t>
            </w:r>
          </w:p>
        </w:tc>
        <w:tc>
          <w:tcPr>
            <w:tcW w:type="dxa" w:w="309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.skills/codeflow-guard/SKILL.md</w:t>
            </w:r>
          </w:p>
        </w:tc>
        <w:tc>
          <w:tcPr>
            <w:tcW w:type="dxa" w:w="525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定义触发方式、审查流程、硬约束和输出前自检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上下文采集脚本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scripts/collect-review-context.js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收集 Git、diff、文件、行号、测试、敏感信号等事实证据</w:t>
            </w:r>
          </w:p>
        </w:tc>
      </w:tr>
      <w:tr>
        <w:tc>
          <w:tcPr>
            <w:tcW w:type="dxa" w:w="180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多语言适配</w:t>
            </w:r>
          </w:p>
        </w:tc>
        <w:tc>
          <w:tcPr>
            <w:tcW w:type="dxa" w:w="309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scripts/language-adapters.js</w:t>
            </w:r>
          </w:p>
        </w:tc>
        <w:tc>
          <w:tcPr>
            <w:tcW w:type="dxa" w:w="525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 JS / Python / Go 等语言相关的语法检查、引用扩展和测试信号识别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输出模板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references/output-template.md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固定报告章节，约束结论、上下文、风险、测试和复审标准</w:t>
            </w:r>
          </w:p>
        </w:tc>
      </w:tr>
      <w:tr>
        <w:tc>
          <w:tcPr>
            <w:tcW w:type="dxa" w:w="180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风险规则</w:t>
            </w:r>
          </w:p>
        </w:tc>
        <w:tc>
          <w:tcPr>
            <w:tcW w:type="dxa" w:w="309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references/risk-rubric.md</w:t>
            </w:r>
          </w:p>
        </w:tc>
        <w:tc>
          <w:tcPr>
            <w:tcW w:type="dxa" w:w="525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 P0-P3 等级与合并建议判断依据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验证样例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examples/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 JS、Go、Python 多语言风险样例，用于比赛演示和边界覆盖测试</w:t>
            </w:r>
          </w:p>
        </w:tc>
      </w:tr>
    </w:tbl>
    <w:p>
      <w:pPr>
        <w:pStyle w:val="SmallCaption"/>
      </w:pPr>
    </w:p>
    <w:p>
      <w:pPr>
        <w:pStyle w:val="Heading1"/>
        <w:spacing w:before="160" w:after="80"/>
      </w:pPr>
      <w:r>
        <w:t>4. 工作流程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800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488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79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用户触发</w:t>
            </w:r>
          </w:p>
        </w:tc>
        <w:tc>
          <w:tcPr>
            <w:tcW w:type="dxa" w:w="748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 CodeBuddy 中请求使用 codeflow-guard 审查当前仓库变更。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事实采集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脚本读取 Git 状态、diff、待审查文件、行号锚点、测试和疑似风险信号。</w:t>
            </w:r>
          </w:p>
        </w:tc>
      </w:tr>
      <w:tr>
        <w:tc>
          <w:tcPr>
            <w:tcW w:type="dxa" w:w="79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80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规则判断</w:t>
            </w:r>
          </w:p>
        </w:tc>
        <w:tc>
          <w:tcPr>
            <w:tcW w:type="dxa" w:w="748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读取 risk-rubric 和 output-template，对证据进行风险分级。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报告生成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输出结论、Top 修复项、变更摘要、关键风险、测试建议、合并检查和复审标准。</w:t>
            </w:r>
          </w:p>
        </w:tc>
      </w:tr>
    </w:tbl>
    <w:p>
      <w:pPr>
        <w:pStyle w:val="SmallCaption"/>
      </w:pPr>
    </w:p>
    <w:p>
      <w:pPr>
        <w:pStyle w:val="Heading2"/>
        <w:spacing w:before="160" w:after="80"/>
      </w:pPr>
      <w:r>
        <w:t>推荐触发提示词：</w:t>
      </w:r>
    </w:p>
    <w:p>
      <w:pPr>
        <w:pStyle w:val="InlineCodeBlock"/>
      </w:pPr>
      <w:r>
        <w:t>请使用 codeflow-guard 审查当前仓库变更，并给出风险等级、测试建议和合并建议。</w:t>
      </w:r>
    </w:p>
    <w:p>
      <w:pPr>
        <w:pStyle w:val="Heading1"/>
        <w:spacing w:before="160" w:after="80"/>
      </w:pPr>
      <w:r>
        <w:t>5. 亮点与创新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亮点</w:t>
            </w:r>
          </w:p>
        </w:tc>
        <w:tc>
          <w:tcPr>
            <w:tcW w:type="dxa" w:w="7632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脚本事实权威</w:t>
            </w:r>
          </w:p>
        </w:tc>
        <w:tc>
          <w:tcPr>
            <w:tcW w:type="dxa" w:w="763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脚本输出的数量、状态、路径和行号作为事实数据，最终报告如有冲突必须重新核查并以脚本为准。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职责分离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采集脚本不做风险定级，避免脚本越权；LLM 负责结合上下文完成审查判断。</w:t>
            </w:r>
          </w:p>
        </w:tc>
      </w:tr>
      <w:tr>
        <w:tc>
          <w:tcPr>
            <w:tcW w:type="dxa" w:w="244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diff=0 语义清晰</w:t>
            </w:r>
          </w:p>
        </w:tc>
        <w:tc>
          <w:tcPr>
            <w:tcW w:type="dxa" w:w="763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 Git diff 为 0 时，报告明确说明是静态巡检或指定范围审查，避免用户误解。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跳过测试双口径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区分“静态扫描发现跳过测试总数”和“本次需处理的跳过测试”，兼顾准确性和报告聚焦。</w:t>
            </w:r>
          </w:p>
        </w:tc>
      </w:tr>
      <w:tr>
        <w:tc>
          <w:tcPr>
            <w:tcW w:type="dxa" w:w="244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敏感信息脱敏</w:t>
            </w:r>
          </w:p>
        </w:tc>
        <w:tc>
          <w:tcPr>
            <w:tcW w:type="dxa" w:w="763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凭据、token、密码和连接串只允许使用脱敏证据，降低报告泄露风险。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多语言验证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examples 覆盖 JS、Go、Python，验证跨语言代码审查能力。</w:t>
            </w:r>
          </w:p>
        </w:tc>
      </w:tr>
    </w:tbl>
    <w:p>
      <w:pPr>
        <w:pStyle w:val="SmallCaption"/>
      </w:pPr>
    </w:p>
    <w:p>
      <w:r>
        <w:br w:type="page"/>
      </w:r>
    </w:p>
    <w:p>
      <w:pPr>
        <w:pStyle w:val="Heading1"/>
        <w:spacing w:before="160" w:after="80"/>
      </w:pPr>
      <w:r>
        <w:t>6. 测试与验证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E6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C355C"/>
                <w:sz w:val="21"/>
              </w:rPr>
              <w:t>验证范围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当前 examples 目录覆盖三种语言、多个典型风险边界，重点验证 Skill 是否能稳定采集证据并生成高质量审查报告。</w:t>
            </w:r>
          </w:p>
        </w:tc>
      </w:tr>
    </w:tbl>
    <w:p>
      <w:pPr>
        <w:pStyle w:val="SmallCaption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语言示例</w:t>
            </w:r>
          </w:p>
        </w:tc>
        <w:tc>
          <w:tcPr>
            <w:tcW w:type="dxa" w:w="4680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覆盖风险</w:t>
            </w:r>
          </w:p>
        </w:tc>
        <w:tc>
          <w:tcPr>
            <w:tcW w:type="dxa" w:w="3240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237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JavaScript / Node.js</w:t>
            </w:r>
          </w:p>
        </w:tc>
        <w:tc>
          <w:tcPr>
            <w:tcW w:type="dxa" w:w="468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缺失 Authorization 放行、硬编码 token、折扣无上限、test.skip</w:t>
            </w:r>
          </w:p>
        </w:tc>
        <w:tc>
          <w:tcPr>
            <w:tcW w:type="dxa" w:w="324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可识别 P0/P1/P2 风险并给出测试恢复建议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 Authorization 返回 admin、硬编码 DB/API 凭据、panic、t.Skip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可识别认证绕过、凭据泄露和服务崩溃风险</w:t>
            </w:r>
          </w:p>
        </w:tc>
      </w:tr>
      <w:tr>
        <w:tc>
          <w:tcPr>
            <w:tcW w:type="dxa" w:w="237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</w:t>
            </w:r>
          </w:p>
        </w:tc>
        <w:tc>
          <w:tcPr>
            <w:tcW w:type="dxa" w:w="468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 Authorization 返回 admin、FREE100 零元下单、debug 绕过校验、pytest.mark.skip</w:t>
            </w:r>
          </w:p>
        </w:tc>
        <w:tc>
          <w:tcPr>
            <w:tcW w:type="dxa" w:w="324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可识别资金风险、测试跳过和敏感日志</w:t>
            </w:r>
          </w:p>
        </w:tc>
      </w:tr>
    </w:tbl>
    <w:p>
      <w:pPr>
        <w:pStyle w:val="SmallCaption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关键指标</w:t>
            </w:r>
          </w:p>
        </w:tc>
        <w:tc>
          <w:tcPr>
            <w:tcW w:type="dxa" w:w="7920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当前表现</w:t>
            </w:r>
          </w:p>
        </w:tc>
      </w:tr>
      <w:tr>
        <w:tc>
          <w:tcPr>
            <w:tcW w:type="dxa" w:w="216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待审查文件</w:t>
            </w:r>
          </w:p>
        </w:tc>
        <w:tc>
          <w:tcPr>
            <w:tcW w:type="dxa" w:w="792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examples 多语言样例项目可被完整纳入审查范围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跳过测试识别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静态扫描可识别 12 个跳过测试：JS 4、Go 4、Python 4</w:t>
            </w:r>
          </w:p>
        </w:tc>
      </w:tr>
      <w:tr>
        <w:tc>
          <w:tcPr>
            <w:tcW w:type="dxa" w:w="216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输出质量</w:t>
            </w:r>
          </w:p>
        </w:tc>
        <w:tc>
          <w:tcPr>
            <w:tcW w:type="dxa" w:w="7920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包含结论、审查上下文、Top 3、变更摘要、关键风险、测试建议、合并检查和复审标准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典型结论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当存在认证绕过、硬编码凭据或资金风险时，输出“不建议合并”</w:t>
            </w:r>
          </w:p>
        </w:tc>
      </w:tr>
    </w:tbl>
    <w:p>
      <w:pPr>
        <w:pStyle w:val="SmallCaption"/>
      </w:pPr>
    </w:p>
    <w:p>
      <w:pPr>
        <w:pStyle w:val="Heading1"/>
        <w:spacing w:before="160" w:after="80"/>
      </w:pPr>
      <w:r>
        <w:t>7. 评分维度对应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2736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对应能力</w:t>
            </w:r>
          </w:p>
        </w:tc>
        <w:tc>
          <w:tcPr>
            <w:tcW w:type="dxa" w:w="5616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场景价值</w:t>
            </w:r>
          </w:p>
        </w:tc>
        <w:tc>
          <w:tcPr>
            <w:tcW w:type="dxa" w:w="273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合并前风险审查</w:t>
            </w:r>
          </w:p>
        </w:tc>
        <w:tc>
          <w:tcPr>
            <w:tcW w:type="dxa" w:w="561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直接服务研发团队日常代码评审、发布前检查和安全质量门禁。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效率提升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结构化报告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自动生成风险等级、行号证据、修复建议和测试建议，降低人工审查成本。</w:t>
            </w:r>
          </w:p>
        </w:tc>
      </w:tr>
      <w:tr>
        <w:tc>
          <w:tcPr>
            <w:tcW w:type="dxa" w:w="172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功能完整性</w:t>
            </w:r>
          </w:p>
        </w:tc>
        <w:tc>
          <w:tcPr>
            <w:tcW w:type="dxa" w:w="273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多阶段闭环</w:t>
            </w:r>
          </w:p>
        </w:tc>
        <w:tc>
          <w:tcPr>
            <w:tcW w:type="dxa" w:w="5616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覆盖采集、判断、报告、测试建议、合并清单和复审标准。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创新与深度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事实采集 + LLM 判断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通过职责分离、脚本事实权威、脱敏和多语言适配提升可靠性。</w:t>
            </w:r>
          </w:p>
        </w:tc>
      </w:tr>
    </w:tbl>
    <w:p>
      <w:pPr>
        <w:pStyle w:val="SmallCaption"/>
      </w:pPr>
    </w:p>
    <w:p>
      <w:pPr>
        <w:pStyle w:val="Heading1"/>
        <w:spacing w:before="160" w:after="80"/>
      </w:pPr>
      <w:r>
        <w:t>8. 使用方式与后续规划</w:t>
      </w:r>
    </w:p>
    <w:p>
      <w:pPr>
        <w:pStyle w:val="Heading2"/>
        <w:spacing w:before="160" w:after="80"/>
      </w:pPr>
      <w:r>
        <w:t>基础命令示例：</w:t>
      </w:r>
    </w:p>
    <w:p>
      <w:pPr>
        <w:pStyle w:val="InlineCodeBlock"/>
      </w:pPr>
      <w:r>
        <w:t>node .skills/codeflow-guard/scripts/collect-review-context.js --repo .</w:t>
      </w:r>
    </w:p>
    <w:p>
      <w:pPr>
        <w:pStyle w:val="InlineCodeBlock"/>
      </w:pPr>
      <w:r>
        <w:t>node .skills/codeflow-guard/scripts/collect-review-context.js --repo . --path examples/python-order-service</w:t>
      </w:r>
    </w:p>
    <w:p>
      <w:pPr>
        <w:pStyle w:val="InlineCodeBlock"/>
      </w:pPr>
      <w:r>
        <w:t>node .skills/codeflow-guard/scripts/collect-review-context.js --repo . --test-cmd "npm test"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8208"/>
            <w:vAlign w:val="center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</w:t>
            </w:r>
          </w:p>
        </w:tc>
      </w:tr>
      <w:tr>
        <w:tc>
          <w:tcPr>
            <w:tcW w:type="dxa" w:w="187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语言扩展</w:t>
            </w:r>
          </w:p>
        </w:tc>
        <w:tc>
          <w:tcPr>
            <w:tcW w:type="dxa" w:w="820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继续补充 Java、Rust、PHP 等语言的语法检查和风险信号适配。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 集成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接入 PR 检查、GitHub Actions 或团队流水线，形成自动质量门禁。</w:t>
            </w:r>
          </w:p>
        </w:tc>
      </w:tr>
      <w:tr>
        <w:tc>
          <w:tcPr>
            <w:tcW w:type="dxa" w:w="1872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团队规则</w:t>
            </w:r>
          </w:p>
        </w:tc>
        <w:tc>
          <w:tcPr>
            <w:tcW w:type="dxa" w:w="8208"/>
            <w:vAlign w:val="center"/>
            <w:shd w:fill="F5F8FB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支持按团队配置风险阈值、豁免规则和合并策略。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报告体验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提供简版摘要和展开细节两层视图，提升日常使用效率。</w:t>
            </w:r>
          </w:p>
        </w:tc>
      </w:tr>
    </w:tbl>
    <w:p>
      <w:pPr>
        <w:pStyle w:val="SmallCaption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C355C"/>
                <w:sz w:val="21"/>
              </w:rPr>
              <w:t>总结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CodeFlow Guard 已完成从 Skill 指令、证据采集、风险规则、输出模板到多语言 examples 验证的完整闭环。它面向真实研发流程，强调事实准确、证据可追溯、报告可执行，适合作为团队合并前风险守门工具。</w:t>
            </w:r>
          </w:p>
        </w:tc>
      </w:tr>
    </w:tbl>
    <w:p>
      <w:pPr>
        <w:pStyle w:val="SmallCaption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91"/>
        <w:sz w:val="16"/>
      </w:rPr>
      <w:t>CodeFlow Guard 作品说明文档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color w:val="27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5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50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C35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pPr>
      <w:spacing w:after="40"/>
    </w:pPr>
    <w:rPr>
      <w:rFonts w:ascii="Microsoft YaHei" w:hAnsi="Microsoft YaHei" w:eastAsia="Microsoft YaHei"/>
      <w:color w:val="5F6E82"/>
      <w:sz w:val="17"/>
    </w:rPr>
  </w:style>
  <w:style w:type="paragraph" w:customStyle="1" w:styleId="InlineCodeBlock">
    <w:name w:val="Inline Code Block"/>
    <w:pPr>
      <w:spacing w:before="40" w:after="120"/>
      <w:ind w:left="216"/>
    </w:pPr>
    <w:rPr>
      <w:rFonts w:ascii="Consolas" w:hAnsi="Consolas" w:eastAsia="Microsoft YaHei"/>
      <w:color w:val="21293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