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맑은 고딕" w:cs="맑은 고딕" w:eastAsia="맑은 고딕" w:hAnsi="맑은 고딕"/>
          <w:sz w:val="28"/>
          <w:szCs w:val="28"/>
        </w:rPr>
        <w:t xml:space="preserve">수업 프로젝트 보고서</w:t>
      </w:r>
    </w:p>
    <w:p>
      <w:pPr>
        <w:spacing w:after="100"/>
        <w:jc w:val="center"/>
      </w:pPr>
      <w:r>
        <w:rPr>
          <w:rFonts w:ascii="맑은 고딕" w:cs="맑은 고딕" w:eastAsia="맑은 고딕" w:hAnsi="맑은 고딕"/>
          <w:b/>
          <w:bCs/>
          <w:sz w:val="36"/>
          <w:szCs w:val="36"/>
        </w:rPr>
        <w:t xml:space="preserve">데이터로 진단하는 업무지구의 성공과 실패</w:t>
      </w:r>
    </w:p>
    <w:p>
      <w:pPr>
        <w:spacing w:after="600"/>
        <w:jc w:val="center"/>
      </w:pPr>
      <w:r>
        <w:rPr>
          <w:rFonts w:ascii="맑은 고딕" w:cs="맑은 고딕" w:eastAsia="맑은 고딕" w:hAnsi="맑은 고딕"/>
          <w:sz w:val="24"/>
          <w:szCs w:val="24"/>
        </w:rPr>
        <w:t xml:space="preserve">— 판교테크노밸리 vs 청라국제업무지구 비교분석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EEF3F8" w:val="clear"/>
            <w:tcMar>
              <w:top w:type="dxa" w:w="100"/>
              <w:left w:type="dxa" w:w="160"/>
              <w:bottom w:type="dxa" w:w="100"/>
              <w:right w:type="dxa" w:w="160"/>
            </w:tcMar>
            <w:vAlign w:val="center"/>
          </w:tcPr>
          <w:p>
            <w:pPr>
              <w:jc w:val="center"/>
            </w:pPr>
            <w:r>
              <w:rPr>
                <w:rFonts w:ascii="맑은 고딕" w:cs="맑은 고딕" w:eastAsia="맑은 고딕" w:hAnsi="맑은 고딕"/>
                <w:b/>
                <w:bCs/>
                <w:sz w:val="22"/>
                <w:szCs w:val="22"/>
              </w:rPr>
              <w:t xml:space="preserve">과 목 명</w:t>
            </w:r>
          </w:p>
        </w:tc>
        <w:tc>
          <w:tcPr>
            <w:tcW w:type="dxa" w:w="6760"/>
            <w:tcBorders>
              <w:top w:val="single" w:color="BBBBBB" w:sz="4"/>
              <w:left w:val="single" w:color="BBBBBB" w:sz="4"/>
              <w:bottom w:val="single" w:color="BBBBBB" w:sz="4"/>
              <w:right w:val="single" w:color="BBBBBB" w:sz="4"/>
            </w:tcBorders>
            <w:tcMar>
              <w:top w:type="dxa" w:w="100"/>
              <w:left w:type="dxa" w:w="160"/>
              <w:bottom w:type="dxa" w:w="100"/>
              <w:right w:type="dxa" w:w="160"/>
            </w:tcMar>
            <w:vAlign w:val="center"/>
          </w:tcPr>
          <w:p>
            <w:r>
              <w:rPr>
                <w:rFonts w:ascii="맑은 고딕" w:cs="맑은 고딕" w:eastAsia="맑은 고딕" w:hAnsi="맑은 고딕"/>
                <w:sz w:val="22"/>
                <w:szCs w:val="22"/>
              </w:rPr>
              <w:t xml:space="preserve">스마트시티 이론과 실제</w:t>
            </w:r>
          </w:p>
        </w:tc>
      </w:tr>
      <w:tr>
        <w:tc>
          <w:tcPr>
            <w:tcW w:type="dxa" w:w="2600"/>
            <w:tcBorders>
              <w:top w:val="single" w:color="BBBBBB" w:sz="4"/>
              <w:left w:val="single" w:color="BBBBBB" w:sz="4"/>
              <w:bottom w:val="single" w:color="BBBBBB" w:sz="4"/>
              <w:right w:val="single" w:color="BBBBBB" w:sz="4"/>
            </w:tcBorders>
            <w:shd w:fill="EEF3F8" w:val="clear"/>
            <w:tcMar>
              <w:top w:type="dxa" w:w="100"/>
              <w:left w:type="dxa" w:w="160"/>
              <w:bottom w:type="dxa" w:w="100"/>
              <w:right w:type="dxa" w:w="160"/>
            </w:tcMar>
            <w:vAlign w:val="center"/>
          </w:tcPr>
          <w:p>
            <w:pPr>
              <w:jc w:val="center"/>
            </w:pPr>
            <w:r>
              <w:rPr>
                <w:rFonts w:ascii="맑은 고딕" w:cs="맑은 고딕" w:eastAsia="맑은 고딕" w:hAnsi="맑은 고딕"/>
                <w:b/>
                <w:bCs/>
                <w:sz w:val="22"/>
                <w:szCs w:val="22"/>
              </w:rPr>
              <w:t xml:space="preserve">팀원 (학번 · 성명)</w:t>
            </w:r>
          </w:p>
        </w:tc>
        <w:tc>
          <w:tcPr>
            <w:tcW w:type="dxa" w:w="6760"/>
            <w:tcBorders>
              <w:top w:val="single" w:color="BBBBBB" w:sz="4"/>
              <w:left w:val="single" w:color="BBBBBB" w:sz="4"/>
              <w:bottom w:val="single" w:color="BBBBBB" w:sz="4"/>
              <w:right w:val="single" w:color="BBBBBB" w:sz="4"/>
            </w:tcBorders>
            <w:tcMar>
              <w:top w:type="dxa" w:w="100"/>
              <w:left w:type="dxa" w:w="160"/>
              <w:bottom w:type="dxa" w:w="100"/>
              <w:right w:type="dxa" w:w="160"/>
            </w:tcMar>
            <w:vAlign w:val="center"/>
          </w:tcPr>
          <w:p>
            <w:r>
              <w:rPr>
                <w:rFonts w:ascii="맑은 고딕" w:cs="맑은 고딕" w:eastAsia="맑은 고딕" w:hAnsi="맑은 고딕"/>
                <w:sz w:val="22"/>
                <w:szCs w:val="22"/>
              </w:rPr>
              <w:t xml:space="preserve">박세호</w:t>
            </w:r>
          </w:p>
        </w:tc>
      </w:tr>
      <w:tr>
        <w:tc>
          <w:tcPr>
            <w:tcW w:type="dxa" w:w="2600"/>
            <w:tcBorders>
              <w:top w:val="single" w:color="BBBBBB" w:sz="4"/>
              <w:left w:val="single" w:color="BBBBBB" w:sz="4"/>
              <w:bottom w:val="single" w:color="BBBBBB" w:sz="4"/>
              <w:right w:val="single" w:color="BBBBBB" w:sz="4"/>
            </w:tcBorders>
            <w:shd w:fill="EEF3F8" w:val="clear"/>
            <w:tcMar>
              <w:top w:type="dxa" w:w="100"/>
              <w:left w:type="dxa" w:w="160"/>
              <w:bottom w:type="dxa" w:w="100"/>
              <w:right w:type="dxa" w:w="160"/>
            </w:tcMar>
            <w:vAlign w:val="center"/>
          </w:tcPr>
          <w:p>
            <w:pPr>
              <w:jc w:val="center"/>
            </w:pPr>
            <w:r>
              <w:rPr>
                <w:rFonts w:ascii="맑은 고딕" w:cs="맑은 고딕" w:eastAsia="맑은 고딕" w:hAnsi="맑은 고딕"/>
                <w:b/>
                <w:bCs/>
                <w:sz w:val="22"/>
                <w:szCs w:val="22"/>
              </w:rPr>
              <w:t xml:space="preserve">지도교수</w:t>
            </w:r>
          </w:p>
        </w:tc>
        <w:tc>
          <w:tcPr>
            <w:tcW w:type="dxa" w:w="6760"/>
            <w:tcBorders>
              <w:top w:val="single" w:color="BBBBBB" w:sz="4"/>
              <w:left w:val="single" w:color="BBBBBB" w:sz="4"/>
              <w:bottom w:val="single" w:color="BBBBBB" w:sz="4"/>
              <w:right w:val="single" w:color="BBBBBB" w:sz="4"/>
            </w:tcBorders>
            <w:tcMar>
              <w:top w:type="dxa" w:w="100"/>
              <w:left w:type="dxa" w:w="160"/>
              <w:bottom w:type="dxa" w:w="100"/>
              <w:right w:type="dxa" w:w="160"/>
            </w:tcMar>
            <w:vAlign w:val="center"/>
          </w:tcPr>
          <w:p>
            <w:r>
              <w:rPr>
                <w:rFonts w:ascii="맑은 고딕" w:cs="맑은 고딕" w:eastAsia="맑은 고딕" w:hAnsi="맑은 고딕"/>
                <w:sz w:val="22"/>
                <w:szCs w:val="22"/>
              </w:rPr>
              <w:t xml:space="preserve">여지호</w:t>
            </w:r>
          </w:p>
        </w:tc>
      </w:tr>
      <w:tr>
        <w:tc>
          <w:tcPr>
            <w:tcW w:type="dxa" w:w="2600"/>
            <w:tcBorders>
              <w:top w:val="single" w:color="BBBBBB" w:sz="4"/>
              <w:left w:val="single" w:color="BBBBBB" w:sz="4"/>
              <w:bottom w:val="single" w:color="BBBBBB" w:sz="4"/>
              <w:right w:val="single" w:color="BBBBBB" w:sz="4"/>
            </w:tcBorders>
            <w:shd w:fill="EEF3F8" w:val="clear"/>
            <w:tcMar>
              <w:top w:type="dxa" w:w="100"/>
              <w:left w:type="dxa" w:w="160"/>
              <w:bottom w:type="dxa" w:w="100"/>
              <w:right w:type="dxa" w:w="160"/>
            </w:tcMar>
            <w:vAlign w:val="center"/>
          </w:tcPr>
          <w:p>
            <w:pPr>
              <w:jc w:val="center"/>
            </w:pPr>
            <w:r>
              <w:rPr>
                <w:rFonts w:ascii="맑은 고딕" w:cs="맑은 고딕" w:eastAsia="맑은 고딕" w:hAnsi="맑은 고딕"/>
                <w:b/>
                <w:bCs/>
                <w:sz w:val="22"/>
                <w:szCs w:val="22"/>
              </w:rPr>
              <w:t xml:space="preserve">제 출 일</w:t>
            </w:r>
          </w:p>
        </w:tc>
        <w:tc>
          <w:tcPr>
            <w:tcW w:type="dxa" w:w="6760"/>
            <w:tcBorders>
              <w:top w:val="single" w:color="BBBBBB" w:sz="4"/>
              <w:left w:val="single" w:color="BBBBBB" w:sz="4"/>
              <w:bottom w:val="single" w:color="BBBBBB" w:sz="4"/>
              <w:right w:val="single" w:color="BBBBBB" w:sz="4"/>
            </w:tcBorders>
            <w:tcMar>
              <w:top w:type="dxa" w:w="100"/>
              <w:left w:type="dxa" w:w="160"/>
              <w:bottom w:type="dxa" w:w="100"/>
              <w:right w:type="dxa" w:w="160"/>
            </w:tcMar>
            <w:vAlign w:val="center"/>
          </w:tcPr>
          <w:p>
            <w:r>
              <w:rPr>
                <w:rFonts w:ascii="맑은 고딕" w:cs="맑은 고딕" w:eastAsia="맑은 고딕" w:hAnsi="맑은 고딕"/>
                <w:sz w:val="22"/>
                <w:szCs w:val="22"/>
              </w:rPr>
              <w:t xml:space="preserve">2026. 06. 25.</w:t>
            </w:r>
          </w:p>
        </w:tc>
      </w:tr>
    </w:tbl>
    <w:p>
      <w:r>
        <w:br w:type="page"/>
      </w:r>
    </w:p>
    <w:p>
      <w:pPr>
        <w:pStyle w:val="Heading1"/>
        <w:spacing w:after="140" w:before="280"/>
      </w:pPr>
      <w:r>
        <w:rPr>
          <w:rFonts w:ascii="맑은 고딕" w:cs="맑은 고딕" w:eastAsia="맑은 고딕" w:hAnsi="맑은 고딕"/>
          <w:b/>
          <w:bCs/>
        </w:rPr>
        <w:t xml:space="preserve">1. 서론</w:t>
      </w:r>
    </w:p>
    <w:p>
      <w:pPr>
        <w:spacing w:after="120"/>
      </w:pPr>
      <w:r>
        <w:rPr>
          <w:rFonts w:ascii="맑은 고딕" w:cs="맑은 고딕" w:eastAsia="맑은 고딕" w:hAnsi="맑은 고딕"/>
          <w:b w:val="false"/>
          <w:bCs w:val="false"/>
          <w:sz w:val="22"/>
          <w:szCs w:val="22"/>
        </w:rPr>
        <w:t xml:space="preserve">판교테크노밸리는 수도권 업무지구 중 가장 자주 성공사례로 인용되는 곳이다. 반면 청라국제업무지구는 2005년 개발계획이 승인된 지 20년이 지난 지금도 부지의 상당 부분이 비어 있다. 두 지역 모두 신도시 계획 단계에서 “자족형 업무거점”으로 설계됐다는 점은 같은데, 결과는 정반대다. 이 보고서는 그 차이를 토지이용·교통망·인구사회 세 영역의 실측 데이터로 설명한다.</w:t>
      </w:r>
    </w:p>
    <w:p>
      <w:pPr>
        <w:pStyle w:val="Heading2"/>
        <w:spacing w:after="140" w:before="280"/>
      </w:pPr>
      <w:r>
        <w:rPr>
          <w:rFonts w:ascii="맑은 고딕" w:cs="맑은 고딕" w:eastAsia="맑은 고딕" w:hAnsi="맑은 고딕"/>
          <w:b/>
          <w:bCs/>
        </w:rPr>
        <w:t xml:space="preserve">1.1 비교 지역 선정 근거</w:t>
      </w:r>
    </w:p>
    <w:p>
      <w:pPr>
        <w:spacing w:after="120"/>
      </w:pPr>
      <w:r>
        <w:rPr>
          <w:rFonts w:ascii="맑은 고딕" w:cs="맑은 고딕" w:eastAsia="맑은 고딕" w:hAnsi="맑은 고딕"/>
          <w:b w:val="false"/>
          <w:bCs w:val="false"/>
          <w:sz w:val="22"/>
          <w:szCs w:val="22"/>
        </w:rPr>
        <w:t xml:space="preserve">청라국제업무지구를 비교 대상으로 선정한 이유는 다음과 같다.</w:t>
      </w:r>
    </w:p>
    <w:p>
      <w:pPr>
        <w:spacing w:after="120"/>
      </w:pPr>
      <w:r>
        <w:rPr>
          <w:rFonts w:ascii="맑은 고딕" w:cs="맑은 고딕" w:eastAsia="맑은 고딕" w:hAnsi="맑은 고딕"/>
          <w:b w:val="false"/>
          <w:bCs w:val="false"/>
          <w:sz w:val="22"/>
          <w:szCs w:val="22"/>
        </w:rPr>
        <w:t xml:space="preserve">1) 물리적 조성 완료 — 가구역(14.4만㎡)은 2022년 매각되어 현재 건축물대장 데이터가 존재한다(용산국제업무지구처럼 사업 자체가 무산된 경우와 다르다).</w:t>
      </w:r>
    </w:p>
    <w:p>
      <w:pPr>
        <w:spacing w:after="120"/>
      </w:pPr>
      <w:r>
        <w:rPr>
          <w:rFonts w:ascii="맑은 고딕" w:cs="맑은 고딕" w:eastAsia="맑은 고딕" w:hAnsi="맑은 고딕"/>
          <w:b w:val="false"/>
          <w:bCs w:val="false"/>
          <w:sz w:val="22"/>
          <w:szCs w:val="22"/>
        </w:rPr>
        <w:t xml:space="preserve">2) “실패/저조”의 공신력 있는 근거가 풍부하다:</w:t>
      </w:r>
    </w:p>
    <w:p>
      <w:pPr>
        <w:spacing w:after="120"/>
      </w:pPr>
      <w:r>
        <w:rPr>
          <w:rFonts w:ascii="맑은 고딕" w:cs="맑은 고딕" w:eastAsia="맑은 고딕" w:hAnsi="맑은 고딕"/>
          <w:b w:val="false"/>
          <w:bCs w:val="false"/>
          <w:sz w:val="22"/>
          <w:szCs w:val="22"/>
        </w:rPr>
        <w:t xml:space="preserve">  • 2005.08 개발계획 최초 승인 → 2007년 LH·건설사 컨소시엄 “청라국제업무타운” 추진 → 2013.12 1차 사업 무산</w:t>
      </w:r>
    </w:p>
    <w:p>
      <w:pPr>
        <w:spacing w:after="120"/>
      </w:pPr>
      <w:r>
        <w:rPr>
          <w:rFonts w:ascii="맑은 고딕" w:cs="맑은 고딕" w:eastAsia="맑은 고딕" w:hAnsi="맑은 고딕"/>
          <w:b w:val="false"/>
          <w:bCs w:val="false"/>
          <w:sz w:val="22"/>
          <w:szCs w:val="22"/>
        </w:rPr>
        <w:t xml:space="preserve">  • 이후 4조700억원 규모 “G시티 프로젝트” 논의 → 생활형숙박시설 규모 특혜 시비로 협약 불성립</w:t>
      </w:r>
    </w:p>
    <w:p>
      <w:pPr>
        <w:spacing w:after="120"/>
      </w:pPr>
      <w:r>
        <w:rPr>
          <w:rFonts w:ascii="맑은 고딕" w:cs="맑은 고딕" w:eastAsia="맑은 고딕" w:hAnsi="맑은 고딕"/>
          <w:b w:val="false"/>
          <w:bCs w:val="false"/>
          <w:sz w:val="22"/>
          <w:szCs w:val="22"/>
        </w:rPr>
        <w:t xml:space="preserve">  • 가구역은 2022년에야 (주)청라스마트시티에 매각(최초 계획 대비 17년 지연), 착공은 2024년 말~2025년 초</w:t>
      </w:r>
    </w:p>
    <w:p>
      <w:pPr>
        <w:spacing w:after="120"/>
      </w:pPr>
      <w:r>
        <w:rPr>
          <w:rFonts w:ascii="맑은 고딕" w:cs="맑은 고딕" w:eastAsia="맑은 고딕" w:hAnsi="맑은 고딕"/>
          <w:b w:val="false"/>
          <w:bCs w:val="false"/>
          <w:sz w:val="22"/>
          <w:szCs w:val="22"/>
        </w:rPr>
        <w:t xml:space="preserve">  • 나구역(13.4만㎡)은 2026년 현재까지도 미매각 — LH가 2026년 상반기 사업자 공모 설명회를 막 시작한 단계</w:t>
      </w:r>
    </w:p>
    <w:p>
      <w:pPr>
        <w:spacing w:after="120"/>
      </w:pPr>
      <w:r>
        <w:rPr>
          <w:rFonts w:ascii="맑은 고딕" w:cs="맑은 고딕" w:eastAsia="맑은 고딕" w:hAnsi="맑은 고딕"/>
          <w:b w:val="false"/>
          <w:bCs w:val="false"/>
          <w:sz w:val="22"/>
          <w:szCs w:val="22"/>
        </w:rPr>
        <w:t xml:space="preserve">3) 수도권 내 위치로 제공된 지하철 네트워크 데이터로 등시간권 분석이 가능하다.</w:t>
      </w:r>
    </w:p>
    <w:p>
      <w:pPr>
        <w:spacing w:after="160"/>
      </w:pPr>
      <w:r>
        <w:rPr>
          <w:rFonts w:ascii="맑은 고딕" w:cs="맑은 고딕" w:eastAsia="맑은 고딕" w:hAnsi="맑은 고딕"/>
          <w:color w:val="555555"/>
          <w:sz w:val="17"/>
          <w:szCs w:val="17"/>
        </w:rPr>
        <w:t xml:space="preserve">출처: 중부일보(2024.09.13), 경기일보(2024.01.03), 헤럴드경제(7호선 청라연장 지연 보도) — 부록 참고</w:t>
      </w:r>
    </w:p>
    <w:p>
      <w:pPr>
        <w:pStyle w:val="Heading1"/>
        <w:spacing w:after="140" w:before="280"/>
      </w:pPr>
      <w:r>
        <w:rPr>
          <w:rFonts w:ascii="맑은 고딕" w:cs="맑은 고딕" w:eastAsia="맑은 고딕" w:hAnsi="맑은 고딕"/>
          <w:b/>
          <w:bCs/>
        </w:rPr>
        <w:t xml:space="preserve">2. 분석 방법</w:t>
      </w:r>
    </w:p>
    <w:p>
      <w:pPr>
        <w:pStyle w:val="Heading2"/>
        <w:spacing w:after="140" w:before="280"/>
      </w:pPr>
      <w:r>
        <w:rPr>
          <w:rFonts w:ascii="맑은 고딕" w:cs="맑은 고딕" w:eastAsia="맑은 고딕" w:hAnsi="맑은 고딕"/>
          <w:b/>
          <w:bCs/>
        </w:rPr>
        <w:t xml:space="preserve">2.1 구역계(분석 경계)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100"/>
        <w:gridCol w:w="2026"/>
      </w:tblGrid>
      <w:tr>
        <w:tc>
          <w:tcPr>
            <w:tcW w:type="dxa" w:w="22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지역</w:t>
            </w:r>
          </w:p>
        </w:tc>
        <w:tc>
          <w:tcPr>
            <w:tcW w:type="dxa" w:w="27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경계 정의</w:t>
            </w:r>
          </w:p>
        </w:tc>
        <w:tc>
          <w:tcPr>
            <w:tcW w:type="dxa" w:w="21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면적</w:t>
            </w:r>
          </w:p>
        </w:tc>
        <w:tc>
          <w:tcPr>
            <w:tcW w:type="dxa" w:w="2026"/>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법적 근거(고시)</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판교테크노밸리(제1판교)</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판교지구 특별계획구역(2004.12 지정)</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661,157㎡(약 20만 평)</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성남시 고시 제2025-6호(2025.1.6) “성남 도시관리계획(지구단위계획: 분당지구, 판교지구 등) 결정(변경) 고시”</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청라국제업무지구</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청라국제도시 내 국제업무지구(가+나구역)</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278,000㎡(가 144,000+나 134,000)</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인천광역시경제자유구역청고시 제2024-431호(2024.12.30) “청라국제도시 개발계획 변경, 실시계획 변경 승인 및 지형도면 고시”</w:t>
            </w:r>
          </w:p>
        </w:tc>
      </w:tr>
    </w:tbl>
    <w:p>
      <w:pPr>
        <w:spacing w:after="120"/>
      </w:pPr>
      <w:r>
        <w:rPr>
          <w:rFonts w:ascii="맑은 고딕" w:cs="맑은 고딕" w:eastAsia="맑은 고딕" w:hAnsi="맑은 고딕"/>
          <w:b w:val="false"/>
          <w:bCs w:val="false"/>
          <w:sz w:val="22"/>
          <w:szCs w:val="22"/>
        </w:rPr>
        <w:t xml:space="preserve">한계 — 반드시 밝혀둘 점: 위 두 고시는 개별 지구단위계획 단독 문서가 아니라, 더 큰 단위(택지개발사업 실시계획 / 도시개발 실시계획)의 변경 고시에 포함된 형태다. 두 문서 모두 “변경된 부분만 수록”하는 방식이라 결정도면(경계 좌표) 자체를 구하지 못했다. 이 보고서와 시스템의 구역경계 폴리곤은 공식 면적 수치(661,157㎡ / 278,000㎡)에 정확히 일치시킨 근사 사각형이며, 핵심역 인근에 배치했다(시스템 지도에 빨간 점선으로 표출). 토지이음(eum.go.kr) 이음지도 실측 확인으로 형상의 타당성을 시각적으로 검증했다.</w:t>
      </w:r>
    </w:p>
    <w:p>
      <w:pPr>
        <w:pStyle w:val="Heading2"/>
        <w:spacing w:after="140" w:before="280"/>
      </w:pPr>
      <w:r>
        <w:rPr>
          <w:rFonts w:ascii="맑은 고딕" w:cs="맑은 고딕" w:eastAsia="맑은 고딕" w:hAnsi="맑은 고딕"/>
          <w:b/>
          <w:bCs/>
        </w:rPr>
        <w:t xml:space="preserve">2.2 핵심역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300"/>
        <w:gridCol w:w="3426"/>
      </w:tblGrid>
      <w:tr>
        <w:tc>
          <w:tcPr>
            <w:tcW w:type="dxa" w:w="9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지역</w:t>
            </w:r>
          </w:p>
        </w:tc>
        <w:tc>
          <w:tcPr>
            <w:tcW w:type="dxa" w:w="17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핵심역</w:t>
            </w:r>
          </w:p>
        </w:tc>
        <w:tc>
          <w:tcPr>
            <w:tcW w:type="dxa" w:w="17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노선</w:t>
            </w:r>
          </w:p>
        </w:tc>
        <w:tc>
          <w:tcPr>
            <w:tcW w:type="dxa" w:w="13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개통일</w:t>
            </w:r>
          </w:p>
        </w:tc>
        <w:tc>
          <w:tcPr>
            <w:tcW w:type="dxa" w:w="3426"/>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선정 근거</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판교</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판교역</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신분당선</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2011-10-28</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강남 직결 노선으로 테크노밸리 입지가치를 만든 핵심 동선. 경강선 판교역(2016)과 같은 광장에서 환승</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청라</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청라국제도시역</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공항철도(AREX)</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2014-06-21</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분석 시점(2026-05-04) 기준 청라에서 유일하게 운영 중인 역. 7호선 청라연장은 지반침하·전동차 수급 문제로 2029~2033년으로 지연되어 미개통</w:t>
            </w:r>
          </w:p>
        </w:tc>
      </w:tr>
    </w:tbl>
    <w:p>
      <w:pPr>
        <w:pStyle w:val="Heading2"/>
        <w:spacing w:after="140" w:before="280"/>
      </w:pPr>
      <w:r>
        <w:rPr>
          <w:rFonts w:ascii="맑은 고딕" w:cs="맑은 고딕" w:eastAsia="맑은 고딕" w:hAnsi="맑은 고딕"/>
          <w:b/>
          <w:bCs/>
        </w:rPr>
        <w:t xml:space="preserve">2.3 시간·공간 범위 및 단위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526"/>
        <w:gridCol w:w="1900"/>
      </w:tblGrid>
      <w:tr>
        <w:tc>
          <w:tcPr>
            <w:tcW w:type="dxa" w:w="23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분석</w:t>
            </w:r>
          </w:p>
        </w:tc>
        <w:tc>
          <w:tcPr>
            <w:tcW w:type="dxa" w:w="23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시간범위</w:t>
            </w:r>
          </w:p>
        </w:tc>
        <w:tc>
          <w:tcPr>
            <w:tcW w:type="dxa" w:w="2526"/>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공간범위</w:t>
            </w:r>
          </w:p>
        </w:tc>
        <w:tc>
          <w:tcPr>
            <w:tcW w:type="dxa" w:w="19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공간단위</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토지이용(3장)</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건축물대장·연속지적도 2026-06 조회 기준</w:t>
            </w:r>
          </w:p>
        </w:tc>
        <w:tc>
          <w:tcPr>
            <w:tcW w:type="dxa" w:w="25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구역계(boundary) 내부</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필지(PNU)</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등시간권(4장)</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지하철망 2026-05-04 cutoff</w:t>
            </w:r>
          </w:p>
        </w:tc>
        <w:tc>
          <w:tcPr>
            <w:tcW w:type="dxa" w:w="25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핵심역에서 지하철로 도달 가능한 수도권 전역</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지하철역(노드)→500m 보행버퍼</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인구사회 — 구역 내(5장)</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SGIS 2023년 통계</w:t>
            </w:r>
          </w:p>
        </w:tc>
        <w:tc>
          <w:tcPr>
            <w:tcW w:type="dxa" w:w="25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구역계 내부</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집계구(adm_cd 14자리)</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인구사회 — 등시간권 결합(4장)</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SGIS 2023년 통계</w:t>
            </w:r>
          </w:p>
        </w:tc>
        <w:tc>
          <w:tcPr>
            <w:tcW w:type="dxa" w:w="25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등시간권 polygon(수도권 전역)</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시군구(adm_cd 5자리)</w:t>
            </w:r>
          </w:p>
        </w:tc>
      </w:tr>
    </w:tbl>
    <w:p>
      <w:pPr>
        <w:spacing w:after="120"/>
      </w:pPr>
      <w:r>
        <w:rPr>
          <w:rFonts w:ascii="맑은 고딕" w:cs="맑은 고딕" w:eastAsia="맑은 고딕" w:hAnsi="맑은 고딕"/>
          <w:b w:val="false"/>
          <w:bCs w:val="false"/>
          <w:sz w:val="22"/>
          <w:szCs w:val="22"/>
        </w:rPr>
        <w:t xml:space="preserve">공간단위를 다르게 쓴 이유: 구역 내부 비교(5장)는 정밀도가 중요해 집계구 단위로 계산했다. 그런데 60분 등시간권은 서울·경기·인천에 걸친 60여 개 시군구를 덮는다. 이 범위를 집계구 단위로 받으면 API 호출이 수천 건이 되어 시간 내 처리가 불가능했다. 그래서 등시간권 분석만 시군구 단위(더 거친 해상도)로 처리했다 — 같은 “인구·종사자” 지표라도 분석 목적(구역 내부 정밀 비교 vs 광역 접근성 트렌드)에 따라 해상도를 다르게 선택한 것이다.</w:t>
      </w:r>
    </w:p>
    <w:p>
      <w:pPr>
        <w:pStyle w:val="Heading2"/>
        <w:spacing w:after="140" w:before="280"/>
      </w:pPr>
      <w:r>
        <w:rPr>
          <w:rFonts w:ascii="맑은 고딕" w:cs="맑은 고딕" w:eastAsia="맑은 고딕" w:hAnsi="맑은 고딕"/>
          <w:b/>
          <w:bCs/>
        </w:rPr>
        <w:t xml:space="preserve">2.4 공간단위 통합(Areal Interpolation)</w:t>
      </w:r>
    </w:p>
    <w:p>
      <w:pPr>
        <w:spacing w:after="120"/>
      </w:pPr>
      <w:r>
        <w:rPr>
          <w:rFonts w:ascii="맑은 고딕" w:cs="맑은 고딕" w:eastAsia="맑은 고딕" w:hAnsi="맑은 고딕"/>
          <w:b w:val="false"/>
          <w:bCs w:val="false"/>
          <w:sz w:val="22"/>
          <w:szCs w:val="22"/>
        </w:rPr>
        <w:t xml:space="preserve">구역계·등시간권 polygon과 SGIS 집계구/시군구 경계는 서로 일치하지 않는다. 경계에 걸친 단위를 그대로 포함시키거나 제외하면 과대·과소 추정이 생긴다. 그래서 교차면적 비율로 인구·종사자 수치를 비례 배분(면적가중, areal interpolation)하는 방법을 통일해서 썼다 — 구역 내부 분석(5장)과 등시간권 분석(4장) 모두 동일한 함수(spatial_utils.areal_weighted_sum)를 공유한다.</w:t>
      </w:r>
    </w:p>
    <w:p>
      <w:r>
        <w:br w:type="page"/>
      </w:r>
    </w:p>
    <w:p>
      <w:pPr>
        <w:pStyle w:val="Heading1"/>
        <w:spacing w:after="140" w:before="280"/>
      </w:pPr>
      <w:r>
        <w:rPr>
          <w:rFonts w:ascii="맑은 고딕" w:cs="맑은 고딕" w:eastAsia="맑은 고딕" w:hAnsi="맑은 고딕"/>
          <w:b/>
          <w:bCs/>
        </w:rPr>
        <w:t xml:space="preserve">3. 비교 분석 — 토지이용</w:t>
      </w:r>
    </w:p>
    <w:p>
      <w:pPr>
        <w:spacing w:after="120"/>
      </w:pPr>
      <w:r>
        <w:rPr>
          <w:rFonts w:ascii="맑은 고딕" w:cs="맑은 고딕" w:eastAsia="맑은 고딕" w:hAnsi="맑은 고딕"/>
          <w:b w:val="false"/>
          <w:bCs w:val="false"/>
          <w:sz w:val="22"/>
          <w:szCs w:val="22"/>
        </w:rPr>
        <w:t xml:space="preserve">방법: VWorld 연속지적도로 구역계와 교차하는 필지(PNU)를 추출하고, 건축HUB 건축물대장을 같은 필지 키(법정동+지번)로 매칭했다. 매칭이 없는 필지는 “미건축(공지)”으로 분류했다.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지표</w:t>
            </w:r>
          </w:p>
        </w:tc>
        <w:tc>
          <w:tcPr>
            <w:tcW w:type="dxa" w:w="2913"/>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판교</w:t>
            </w:r>
          </w:p>
        </w:tc>
        <w:tc>
          <w:tcPr>
            <w:tcW w:type="dxa" w:w="2913"/>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청라</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분석 대상 필지 수</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146개</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73개</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매칭된 건축물(표제부) 수</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237건</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8건</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공지(미건축) 비율</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64.4%</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97.3%</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평균 용적률(FAR)</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0.72</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0.32</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토지이용 혼합도(LUM 엔트로피)</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0.48</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0.69</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최대 비중 용도</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공동주택 45.8%, 업무시설 39.1%</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교육연구시설 63.3%</w:t>
            </w:r>
          </w:p>
        </w:tc>
      </w:tr>
    </w:tbl>
    <w:p>
      <w:pPr>
        <w:spacing w:after="160"/>
      </w:pPr>
      <w:r>
        <w:rPr>
          <w:rFonts w:ascii="맑은 고딕" w:cs="맑은 고딕" w:eastAsia="맑은 고딕" w:hAnsi="맑은 고딕"/>
          <w:color w:val="555555"/>
          <w:sz w:val="17"/>
          <w:szCs w:val="17"/>
        </w:rPr>
        <w:t xml:space="preserve">표 1. 토지이용 비교 (출처: 시스템 통계패널, https://park971011-ui.github.io/comparing_system/)</w:t>
      </w:r>
    </w:p>
    <w:p>
      <w:pPr>
        <w:spacing w:after="120"/>
      </w:pPr>
      <w:r>
        <w:rPr>
          <w:rFonts w:ascii="맑은 고딕" w:cs="맑은 고딕" w:eastAsia="맑은 고딕" w:hAnsi="맑은 고딕"/>
          <w:b w:val="false"/>
          <w:bCs w:val="false"/>
          <w:sz w:val="22"/>
          <w:szCs w:val="22"/>
        </w:rPr>
        <w:t xml:space="preserve">해석: 공지 비율(97.3% vs 64.4%)과 매칭 건축물 수(8건 vs 237건)는 “조성은 됐지만 거의 비어 있다”는 청라의 상태를 직접 보여준다. 평균 용적률 0.32는 판교의 절반에도 못 미친다 — 즉 남아있는 8건의 건축물조차 저밀도다. 반면 판교는 LUM 혼합도가 더 낮은데(0.48), 이는 역설적으로 “성공”의 한 단면이다: 청라의 LUM이 더 높게 나온 건 용도가 혼합돼서가 아니라, 표본이 8건뿐이라 우연히 몇 개 용도가 섞인 것처럼 보이는 통계적 착시에 가깝다. 표본 수 자체가 활성화 정도를 보여주는 더 직접적인 지표다.</w:t>
      </w:r>
    </w:p>
    <w:p>
      <w:pPr>
        <w:spacing w:after="120"/>
      </w:pPr>
      <w:r>
        <w:rPr>
          <w:rFonts w:ascii="맑은 고딕" w:cs="맑은 고딕" w:eastAsia="맑은 고딕" w:hAnsi="맑은 고딕"/>
          <w:b w:val="false"/>
          <w:bCs w:val="false"/>
          <w:sz w:val="22"/>
          <w:szCs w:val="22"/>
        </w:rPr>
        <w:t xml:space="preserve">판교의 주용도가 업무시설보다 공동주택이 더 큰 비중(45.8%)을 차지하는 것은, 우리가 정의한 구역계(근사 사각형)가 테크노밸리 핵심 연구단지뿐 아니라 주변 삼평동 주거블록 일부를 포함하기 때문이다(2.1절의 경계 근사 한계). 업무시설 39.1%만 따로 봐도 청라(매칭 건물 8건 중 업무시설 없음)보다 압도적으로 높다.</w:t>
      </w:r>
    </w:p>
    <w:p>
      <w:r>
        <w:br w:type="page"/>
      </w:r>
    </w:p>
    <w:p>
      <w:pPr>
        <w:pStyle w:val="Heading1"/>
        <w:spacing w:after="140" w:before="280"/>
      </w:pPr>
      <w:r>
        <w:rPr>
          <w:rFonts w:ascii="맑은 고딕" w:cs="맑은 고딕" w:eastAsia="맑은 고딕" w:hAnsi="맑은 고딕"/>
          <w:b/>
          <w:bCs/>
        </w:rPr>
        <w:t xml:space="preserve">4. 비교 분석 — 교통망(등시간권)</w:t>
      </w:r>
    </w:p>
    <w:p>
      <w:pPr>
        <w:pStyle w:val="Heading2"/>
        <w:spacing w:after="140" w:before="280"/>
      </w:pPr>
      <w:r>
        <w:rPr>
          <w:rFonts w:ascii="맑은 고딕" w:cs="맑은 고딕" w:eastAsia="맑은 고딕" w:hAnsi="맑은 고딕"/>
          <w:b/>
          <w:bCs/>
        </w:rPr>
        <w:t xml:space="preserve">4.1 30분·60분 등시간권 도달역수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
            </w:r>
          </w:p>
        </w:tc>
        <w:tc>
          <w:tcPr>
            <w:tcW w:type="dxa" w:w="2913"/>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30분</w:t>
            </w:r>
          </w:p>
        </w:tc>
        <w:tc>
          <w:tcPr>
            <w:tcW w:type="dxa" w:w="2913"/>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60분</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판교역(신분당선)</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86개 역</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454개 역</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청라국제도시역(공항철도)</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50개 역</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303개 역</w:t>
            </w:r>
          </w:p>
        </w:tc>
      </w:tr>
    </w:tbl>
    <w:p>
      <w:pPr>
        <w:pStyle w:val="Heading2"/>
        <w:spacing w:after="140" w:before="280"/>
      </w:pPr>
      <w:r>
        <w:rPr>
          <w:rFonts w:ascii="맑은 고딕" w:cs="맑은 고딕" w:eastAsia="맑은 고딕" w:hAnsi="맑은 고딕"/>
          <w:b/>
          <w:bCs/>
        </w:rPr>
        <w:t xml:space="preserve">4.2 누적 접근성 곡선 — 도달 가능 종사자수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426"/>
      </w:tblGrid>
      <w:tr>
        <w:tc>
          <w:tcPr>
            <w:tcW w:type="dxa" w:w="18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경과시간</w:t>
            </w:r>
          </w:p>
        </w:tc>
        <w:tc>
          <w:tcPr>
            <w:tcW w:type="dxa" w:w="24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판교 도달 종사자</w:t>
            </w:r>
          </w:p>
        </w:tc>
        <w:tc>
          <w:tcPr>
            <w:tcW w:type="dxa" w:w="24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청라 도달 종사자</w:t>
            </w:r>
          </w:p>
        </w:tc>
        <w:tc>
          <w:tcPr>
            <w:tcW w:type="dxa" w:w="1426"/>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격차(배)</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5분</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8,108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1,414</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5.7배</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15분</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71,266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7,380</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9.7배</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25분</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263,178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36,907</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7.1배</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30분</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511,607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90,876</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5.6배</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45분</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1,450,812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425,005</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3.4배</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60분</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2,392,907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1,325,281</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1.8배</w:t>
            </w:r>
          </w:p>
        </w:tc>
      </w:tr>
    </w:tbl>
    <w:p>
      <w:pPr>
        <w:spacing w:after="160"/>
      </w:pPr>
      <w:r>
        <w:rPr>
          <w:rFonts w:ascii="맑은 고딕" w:cs="맑은 고딕" w:eastAsia="맑은 고딕" w:hAnsi="맑은 고딕"/>
          <w:color w:val="555555"/>
          <w:sz w:val="17"/>
          <w:szCs w:val="17"/>
        </w:rPr>
        <w:t xml:space="preserve">표 2. 누적 접근성 곡선(시군구 단위 면적가중). 시스템 화면: 통계패널 상단 라인차트.</w:t>
      </w:r>
    </w:p>
    <w:p>
      <w:pPr>
        <w:spacing w:after="120"/>
      </w:pPr>
      <w:r>
        <w:rPr>
          <w:rFonts w:ascii="맑은 고딕" w:cs="맑은 고딕" w:eastAsia="맑은 고딕" w:hAnsi="맑은 고딕"/>
          <w:b w:val="false"/>
          <w:bCs w:val="false"/>
          <w:sz w:val="22"/>
          <w:szCs w:val="22"/>
        </w:rPr>
        <w:t xml:space="preserve">해석: “핵심역에서 t분 이내 도달 가능한 종사자수”는 그 업무지구가 끌어올 수 있는 노동시장의 크기를 뜻한다. 격차는 모든 시간대에서 일관되게 나타나지만, 특히 출퇴근 핵심 구간인 25~30분에서 5.6~7.1배까지 벌어진다. 판교는 신분당선을 통해 강남 전체 노동시장에 25분 안에 닿는다. 청라는 공항철도 단일 노선으로 서울 도심까지 가는 데 시간이 더 걸리고, 환승이 필요한 노선이 많아 격차가 크다. 60분 시점에서 격차가 1.8배로 줄어드는 건 그만큼 시간이 지나면 결국 수도권 전체를 덮기 때문이며, “단거리 통근권의 질”에서 격차가 가장 크다는 점이 핵심이다.</w:t>
      </w:r>
    </w:p>
    <w:p>
      <w:r>
        <w:br w:type="page"/>
      </w:r>
    </w:p>
    <w:p>
      <w:pPr>
        <w:pStyle w:val="Heading1"/>
        <w:spacing w:after="140" w:before="280"/>
      </w:pPr>
      <w:r>
        <w:rPr>
          <w:rFonts w:ascii="맑은 고딕" w:cs="맑은 고딕" w:eastAsia="맑은 고딕" w:hAnsi="맑은 고딕"/>
          <w:b/>
          <w:bCs/>
        </w:rPr>
        <w:t xml:space="preserve">5. 비교 분석 — 인구사회</w:t>
      </w:r>
    </w:p>
    <w:p>
      <w:pPr>
        <w:spacing w:after="120"/>
      </w:pPr>
      <w:r>
        <w:rPr>
          <w:rFonts w:ascii="맑은 고딕" w:cs="맑은 고딕" w:eastAsia="맑은 고딕" w:hAnsi="맑은 고딕"/>
          <w:b w:val="false"/>
          <w:bCs w:val="false"/>
          <w:sz w:val="22"/>
          <w:szCs w:val="22"/>
        </w:rPr>
        <w:t xml:space="preserve">방법: 구역계 내부 SGIS 집계구(2023년 통계)를 면적가중으로 결합했다.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지표</w:t>
            </w:r>
          </w:p>
        </w:tc>
        <w:tc>
          <w:tcPr>
            <w:tcW w:type="dxa" w:w="2913"/>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판교</w:t>
            </w:r>
          </w:p>
        </w:tc>
        <w:tc>
          <w:tcPr>
            <w:tcW w:type="dxa" w:w="2913"/>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청라</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인구</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9,131명</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103명</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가구수</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3,693</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74</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종사자수</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27,830명</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293명</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사업체수</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1,457</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15</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직주비(종사자/인구)</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3.05</w:t>
            </w:r>
          </w:p>
        </w:tc>
        <w:tc>
          <w:tcPr>
            <w:tcW w:type="dxa" w:w="2913"/>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2.84</w:t>
            </w:r>
          </w:p>
        </w:tc>
      </w:tr>
    </w:tbl>
    <w:p>
      <w:pPr>
        <w:spacing w:after="160"/>
      </w:pPr>
      <w:r>
        <w:rPr>
          <w:rFonts w:ascii="맑은 고딕" w:cs="맑은 고딕" w:eastAsia="맑은 고딕" w:hAnsi="맑은 고딕"/>
          <w:color w:val="555555"/>
          <w:sz w:val="17"/>
          <w:szCs w:val="17"/>
        </w:rPr>
        <w:t xml:space="preserve">표 3. 인구사회 비교 (SGIS 2023, 집계구 단위 면적가중). 시스템 화면: 통계패널 표 하단.</w:t>
      </w:r>
    </w:p>
    <w:p>
      <w:pPr>
        <w:spacing w:after="120"/>
      </w:pPr>
      <w:r>
        <w:rPr>
          <w:rFonts w:ascii="맑은 고딕" w:cs="맑은 고딕" w:eastAsia="맑은 고딕" w:hAnsi="맑은 고딕"/>
          <w:b w:val="false"/>
          <w:bCs w:val="false"/>
          <w:sz w:val="22"/>
          <w:szCs w:val="22"/>
        </w:rPr>
        <w:t xml:space="preserve">해석: 직주비만 보면 두 지역이 비슷해 보인다(3.05 vs 2.84) — 둘 다 “거주보다 일하는 사람이 많은” 업무 위주 지역이라는 뜻이다. 하지만 절대 규모를 보면 완전히 다른 이야기가 된다. 판교는 27,830명의 종사자를 끌어들이는 노동시장이고, 청라는 293명에 불과하다. 직주비라는 비율 지표만 보면 “두 지역 다 업무 중심지”라는 같은 결론이 나오지만, 절대 수치는 청라가 아직 “업무지구로서의 규모”를 갖추지 못했음을 보여준다. 이는 비율 지표와 절대 지표를 같이 봐야 한다는 방법론적 교훈이기도 하다.</w:t>
      </w:r>
    </w:p>
    <w:p>
      <w:r>
        <w:br w:type="page"/>
      </w:r>
    </w:p>
    <w:p>
      <w:pPr>
        <w:pStyle w:val="Heading1"/>
        <w:spacing w:after="140" w:before="280"/>
      </w:pPr>
      <w:r>
        <w:rPr>
          <w:rFonts w:ascii="맑은 고딕" w:cs="맑은 고딕" w:eastAsia="맑은 고딕" w:hAnsi="맑은 고딕"/>
          <w:b/>
          <w:bCs/>
        </w:rPr>
        <w:t xml:space="preserve">6. 성공요인 도출</w:t>
      </w:r>
    </w:p>
    <w:p>
      <w:pPr>
        <w:spacing w:after="120"/>
      </w:pPr>
      <w:r>
        <w:rPr>
          <w:rFonts w:ascii="맑은 고딕" w:cs="맑은 고딕" w:eastAsia="맑은 고딕" w:hAnsi="맑은 고딕"/>
          <w:b w:val="false"/>
          <w:bCs w:val="false"/>
          <w:sz w:val="22"/>
          <w:szCs w:val="22"/>
        </w:rPr>
        <w:t xml:space="preserve">세 영역의 결과를 종합하면, 판교테크노밸리의 성공요인은 다음 세 가지로 정리된다.</w:t>
      </w:r>
    </w:p>
    <w:p>
      <w:pPr>
        <w:pStyle w:val="Heading2"/>
        <w:spacing w:after="140" w:before="280"/>
      </w:pPr>
      <w:r>
        <w:rPr>
          <w:rFonts w:ascii="맑은 고딕" w:cs="맑은 고딕" w:eastAsia="맑은 고딕" w:hAnsi="맑은 고딕"/>
          <w:b/>
          <w:bCs/>
        </w:rPr>
        <w:t xml:space="preserve">6.1 광역 노동시장 접근성 — “통근권의 크기”</w:t>
      </w:r>
    </w:p>
    <w:p>
      <w:pPr>
        <w:spacing w:after="120"/>
      </w:pPr>
      <w:r>
        <w:rPr>
          <w:rFonts w:ascii="맑은 고딕" w:cs="맑은 고딕" w:eastAsia="맑은 고딕" w:hAnsi="맑은 고딕"/>
          <w:b w:val="false"/>
          <w:bCs w:val="false"/>
          <w:sz w:val="22"/>
          <w:szCs w:val="22"/>
        </w:rPr>
        <w:t xml:space="preserve">판교는 25분 이내에 26.3만 명의 종사자(노동시장)에 닿는다(청라 3.7만 명, 7.1배). 이는 신분당선이라는 강남 직결 노선 하나가 만들어낸 차이다. 기업이 입지를 선택할 때 결정적인 건 “이 지역에 출퇴근 가능한 인재가 얼마나 있는가”이고, 판교는 강남 노동시장 전체를 25분 통근권으로 끌어왔다. 청라는 공항철도 단일 노선의 한계로 이 효과를 누리지 못한다.</w:t>
      </w:r>
    </w:p>
    <w:p>
      <w:pPr>
        <w:pStyle w:val="Heading2"/>
        <w:spacing w:after="140" w:before="280"/>
      </w:pPr>
      <w:r>
        <w:rPr>
          <w:rFonts w:ascii="맑은 고딕" w:cs="맑은 고딕" w:eastAsia="맑은 고딕" w:hAnsi="맑은 고딕"/>
          <w:b/>
          <w:bCs/>
        </w:rPr>
        <w:t xml:space="preserve">6.2 개발 실현 속도와 밀도 — “비어있지 않은 땅”</w:t>
      </w:r>
    </w:p>
    <w:p>
      <w:pPr>
        <w:spacing w:after="120"/>
      </w:pPr>
      <w:r>
        <w:rPr>
          <w:rFonts w:ascii="맑은 고딕" w:cs="맑은 고딕" w:eastAsia="맑은 고딕" w:hAnsi="맑은 고딕"/>
          <w:b w:val="false"/>
          <w:bCs w:val="false"/>
          <w:sz w:val="22"/>
          <w:szCs w:val="22"/>
        </w:rPr>
        <w:t xml:space="preserve">판교는 공지 비율 64.4%, 평균 용적률 0.72로 이미 상당 부분 개발이 실현됐다. 청라는 공지 비율 97.3%, 평균 용적률 0.32로 20년 전 계획이 아직 땅 위에 구현되지 못했다. 이 차이는 단순한 시차가 아니라 — 1장에서 정리했듯 1차 사업 무산(2013), G시티 프로젝트 무산, 가구역 17년 지연 매각 — 반복된 사업 좌초의 결과다. 입지가 좋아도 누적된 불확실성이 투자를 막으면 개발이 실현되지 않는다.</w:t>
      </w:r>
    </w:p>
    <w:p>
      <w:pPr>
        <w:pStyle w:val="Heading2"/>
        <w:spacing w:after="140" w:before="280"/>
      </w:pPr>
      <w:r>
        <w:rPr>
          <w:rFonts w:ascii="맑은 고딕" w:cs="맑은 고딕" w:eastAsia="맑은 고딕" w:hAnsi="맑은 고딕"/>
          <w:b/>
          <w:bCs/>
        </w:rPr>
        <w:t xml:space="preserve">6.3 노동시장 규모의 자기강화 — “사람이 모여야 사람이 온다”</w:t>
      </w:r>
    </w:p>
    <w:p>
      <w:pPr>
        <w:spacing w:after="120"/>
      </w:pPr>
      <w:r>
        <w:rPr>
          <w:rFonts w:ascii="맑은 고딕" w:cs="맑은 고딕" w:eastAsia="맑은 고딕" w:hAnsi="맑은 고딕"/>
          <w:b w:val="false"/>
          <w:bCs w:val="false"/>
          <w:sz w:val="22"/>
          <w:szCs w:val="22"/>
        </w:rPr>
        <w:t xml:space="preserve">판교의 종사자수(27,830명)는 청라(293명)의 95배다. 이 격차는 위 두 요인(접근성+개발실현)이 누적된 결과이자, 동시에 새로운 원인이 된다. 종사자가 많아지면 상업·서비스 수요가 늘고, 이는 다시 더 많은 기업·인구를 끌어들인다. 한 보도에 따르면 청라 나구역의 당초 4차산업 오피스 콘셉트조차 “스타트업이 이미 판교에 몰려있어 경쟁력이 우려된다”는 이유로 재검토되고 있다 — 판교가 만든 규모의 자기강화가 후발 업무지구의 경쟁력 자체를 깎아먹는 단계에 이른 것이다.</w:t>
      </w:r>
    </w:p>
    <w:p>
      <w:pPr>
        <w:pStyle w:val="Heading1"/>
        <w:spacing w:after="140" w:before="280"/>
      </w:pPr>
      <w:r>
        <w:rPr>
          <w:rFonts w:ascii="맑은 고딕" w:cs="맑은 고딕" w:eastAsia="맑은 고딕" w:hAnsi="맑은 고딕"/>
          <w:b/>
          <w:bCs/>
        </w:rPr>
        <w:t xml:space="preserve">7. 분석의 한계</w:t>
      </w:r>
    </w:p>
    <w:p>
      <w:pPr>
        <w:spacing w:after="120"/>
      </w:pPr>
      <w:r>
        <w:rPr>
          <w:rFonts w:ascii="맑은 고딕" w:cs="맑은 고딕" w:eastAsia="맑은 고딕" w:hAnsi="맑은 고딕"/>
          <w:b w:val="false"/>
          <w:bCs w:val="false"/>
          <w:sz w:val="22"/>
          <w:szCs w:val="22"/>
        </w:rPr>
        <w:t xml:space="preserve">• 상관과 인과의 구분: 본 분석은 판교-청라 간 차이를 보여주지만, “신분당선이 있어서 성공했다”는 식의 단순 인과로 단정할 수 없다. 신분당선 자체가 판교 개발 초기부터 계획된 것이라 원인과 결과가 얽혀 있다(내생성 문제). 청라의 7호선 연장이 완료되면 격차가 줄어들지는 추가 관찰이 필요하다.</w:t>
      </w:r>
    </w:p>
    <w:p>
      <w:pPr>
        <w:spacing w:after="120"/>
      </w:pPr>
      <w:r>
        <w:rPr>
          <w:rFonts w:ascii="맑은 고딕" w:cs="맑은 고딕" w:eastAsia="맑은 고딕" w:hAnsi="맑은 고딕"/>
          <w:b w:val="false"/>
          <w:bCs w:val="false"/>
          <w:sz w:val="22"/>
          <w:szCs w:val="22"/>
        </w:rPr>
        <w:t xml:space="preserve">• 구역계의 근사치 한계: 2.1절에서 밝혔듯 두 구역의 경계는 정식 결정도면 좌표가 아니라 공식 면적에 맞춘 근사 사각형이다. 특히 판교 쪽 경계에 주거블록이 일부 포함되어 업무시설 비중이 실제보다 낮게 나왔을 수 있다.</w:t>
      </w:r>
    </w:p>
    <w:p>
      <w:pPr>
        <w:spacing w:after="120"/>
      </w:pPr>
      <w:r>
        <w:rPr>
          <w:rFonts w:ascii="맑은 고딕" w:cs="맑은 고딕" w:eastAsia="맑은 고딕" w:hAnsi="맑은 고딕"/>
          <w:b w:val="false"/>
          <w:bCs w:val="false"/>
          <w:sz w:val="22"/>
          <w:szCs w:val="22"/>
        </w:rPr>
        <w:t xml:space="preserve">• 공간단위 해상도 차이: 2.3절에서 밝혔듯 구역 내부 인구사회 분석(집계구)과 등시간권 결합 분석(시군구)의 해상도가 다르다. 두 절대값을 직접 비교하면 안 되고, 같은 해상도 내에서의 상대 비교만 유효하다.</w:t>
      </w:r>
    </w:p>
    <w:p>
      <w:pPr>
        <w:spacing w:after="120"/>
      </w:pPr>
      <w:r>
        <w:rPr>
          <w:rFonts w:ascii="맑은 고딕" w:cs="맑은 고딕" w:eastAsia="맑은 고딕" w:hAnsi="맑은 고딕"/>
          <w:b w:val="false"/>
          <w:bCs w:val="false"/>
          <w:sz w:val="22"/>
          <w:szCs w:val="22"/>
        </w:rPr>
        <w:t xml:space="preserve">• 기준연도 차이 가능성: 건축물대장·연속지적도는 조회 시점(2026-06) 현재 데이터이고, SGIS 인구통계는 2023년 기준이다. 완전히 같은 시점은 아니다.</w:t>
      </w:r>
    </w:p>
    <w:p>
      <w:pPr>
        <w:spacing w:after="120"/>
      </w:pPr>
      <w:r>
        <w:rPr>
          <w:rFonts w:ascii="맑은 고딕" w:cs="맑은 고딕" w:eastAsia="맑은 고딕" w:hAnsi="맑은 고딕"/>
          <w:b w:val="false"/>
          <w:bCs w:val="false"/>
          <w:sz w:val="22"/>
          <w:szCs w:val="22"/>
        </w:rPr>
        <w:t xml:space="preserve">• 표본 크기: 청라의 건축물 매칭 표본이 8건에 불과해, 주용도 비율 등 일부 지표는 통계적으로 불안정할 수 있다(3장 해석 참고).</w:t>
      </w:r>
    </w:p>
    <w:p>
      <w:r>
        <w:br w:type="page"/>
      </w:r>
    </w:p>
    <w:p>
      <w:pPr>
        <w:pStyle w:val="Heading1"/>
        <w:spacing w:after="140" w:before="280"/>
      </w:pPr>
      <w:r>
        <w:rPr>
          <w:rFonts w:ascii="맑은 고딕" w:cs="맑은 고딕" w:eastAsia="맑은 고딕" w:hAnsi="맑은 고딕"/>
          <w:b/>
          <w:bCs/>
        </w:rPr>
        <w:t xml:space="preserve">부록</w:t>
      </w:r>
    </w:p>
    <w:p>
      <w:pPr>
        <w:pStyle w:val="Heading2"/>
        <w:spacing w:after="140" w:before="280"/>
      </w:pPr>
      <w:r>
        <w:rPr>
          <w:rFonts w:ascii="맑은 고딕" w:cs="맑은 고딕" w:eastAsia="맑은 고딕" w:hAnsi="맑은 고딕"/>
          <w:b/>
          <w:bCs/>
        </w:rPr>
        <w:t xml:space="preserve">A. 제출물 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항목</w:t>
            </w:r>
          </w:p>
        </w:tc>
        <w:tc>
          <w:tcPr>
            <w:tcW w:type="dxa" w:w="6726"/>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URL</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배포된 시스템</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https://park971011-ui.github.io/comparing_system/</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GitHub 저장소</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https://github.com/park971011-ui/comparing_system</w:t>
            </w:r>
          </w:p>
        </w:tc>
      </w:tr>
    </w:tbl>
    <w:p>
      <w:pPr>
        <w:pStyle w:val="Heading2"/>
        <w:spacing w:after="140" w:before="280"/>
      </w:pPr>
      <w:r>
        <w:rPr>
          <w:rFonts w:ascii="맑은 고딕" w:cs="맑은 고딕" w:eastAsia="맑은 고딕" w:hAnsi="맑은 고딕"/>
          <w:b/>
          <w:bCs/>
        </w:rPr>
        <w:t xml:space="preserve">B. 데이터 출처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c>
          <w:tcPr>
            <w:tcW w:type="dxa" w:w="23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데이터</w:t>
            </w:r>
          </w:p>
        </w:tc>
        <w:tc>
          <w:tcPr>
            <w:tcW w:type="dxa" w:w="4426"/>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출처</w:t>
            </w:r>
          </w:p>
        </w:tc>
        <w:tc>
          <w:tcPr>
            <w:tcW w:type="dxa" w:w="2300"/>
            <w:tcBorders>
              <w:top w:val="single" w:color="BBBBBB" w:sz="4"/>
              <w:left w:val="single" w:color="BBBBBB" w:sz="4"/>
              <w:bottom w:val="single" w:color="BBBBBB" w:sz="4"/>
              <w:right w:val="single" w:color="BBBBBB" w:sz="4"/>
            </w:tcBorders>
            <w:shd w:fill="EEF3F8" w:val="clear"/>
            <w:tcMar>
              <w:top w:type="dxa" w:w="60"/>
              <w:left w:type="dxa" w:w="100"/>
              <w:bottom w:type="dxa" w:w="60"/>
              <w:right w:type="dxa" w:w="100"/>
            </w:tcMar>
            <w:vAlign w:val="center"/>
          </w:tcPr>
          <w:p>
            <w:r>
              <w:rPr>
                <w:rFonts w:ascii="맑은 고딕" w:cs="맑은 고딕" w:eastAsia="맑은 고딕" w:hAnsi="맑은 고딕"/>
                <w:b/>
                <w:bCs/>
                <w:sz w:val="18"/>
                <w:szCs w:val="18"/>
              </w:rPr>
              <w:t xml:space="preserve">기준시점</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인구·종사자(집계구/시군구)</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SGIS 통계지리정보서비스 (Open API)</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2023년</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용도지역지구</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VWorld 2D데이터 Open API (LT_C_UQ111)</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2026-06 조회</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건축물대장</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건축HUB 건축물대장정보서비스 (data.go.kr, BldRgstHubService)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2026-06 조회</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연속지적도(필지)</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VWorld 2D데이터 Open API (LP_PA_CBND_BUBUN)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2026-06 조회</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지하철 네트워크</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강의 제공 자료(subway_network.zip)</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vAlign w:val="center"/>
          </w:tcPr>
          <w:p>
            <w:r>
              <w:rPr>
                <w:rFonts w:ascii="맑은 고딕" w:cs="맑은 고딕" w:eastAsia="맑은 고딕" w:hAnsi="맑은 고딕"/>
                <w:b w:val="false"/>
                <w:bCs w:val="false"/>
                <w:sz w:val="18"/>
                <w:szCs w:val="18"/>
              </w:rPr>
              <w:t xml:space="preserve">2026-05-04 cutoff</w:t>
            </w:r>
          </w:p>
        </w:tc>
      </w:tr>
    </w:tbl>
    <w:p>
      <w:pPr>
        <w:pStyle w:val="Heading2"/>
        <w:spacing w:after="140" w:before="280"/>
      </w:pPr>
      <w:r>
        <w:rPr>
          <w:rFonts w:ascii="맑은 고딕" w:cs="맑은 고딕" w:eastAsia="맑은 고딕" w:hAnsi="맑은 고딕"/>
          <w:b/>
          <w:bCs/>
        </w:rPr>
        <w:t xml:space="preserve">C. 주요 분석 화면 (시스템 연계)</w:t>
      </w:r>
    </w:p>
    <w:p>
      <w:pPr>
        <w:spacing w:after="120"/>
      </w:pPr>
      <w:r>
        <w:rPr>
          <w:rFonts w:ascii="맑은 고딕" w:cs="맑은 고딕" w:eastAsia="맑은 고딕" w:hAnsi="맑은 고딕"/>
          <w:b w:val="false"/>
          <w:bCs w:val="false"/>
          <w:sz w:val="22"/>
          <w:szCs w:val="22"/>
        </w:rPr>
        <w:t xml:space="preserve">• 표 1(토지이용) ↔ 시스템 우측 통계패널 상단 막대그래프 + 표</w:t>
      </w:r>
    </w:p>
    <w:p>
      <w:pPr>
        <w:spacing w:after="120"/>
      </w:pPr>
      <w:r>
        <w:rPr>
          <w:rFonts w:ascii="맑은 고딕" w:cs="맑은 고딕" w:eastAsia="맑은 고딕" w:hAnsi="맑은 고딕"/>
          <w:b w:val="false"/>
          <w:bCs w:val="false"/>
          <w:sz w:val="22"/>
          <w:szCs w:val="22"/>
        </w:rPr>
        <w:t xml:space="preserve">• 표 2(누적 접근성 곡선) ↔ 시스템 우측 통계패널 라인차트</w:t>
      </w:r>
    </w:p>
    <w:p>
      <w:pPr>
        <w:spacing w:after="120"/>
      </w:pPr>
      <w:r>
        <w:rPr>
          <w:rFonts w:ascii="맑은 고딕" w:cs="맑은 고딕" w:eastAsia="맑은 고딕" w:hAnsi="맑은 고딕"/>
          <w:b w:val="false"/>
          <w:bCs w:val="false"/>
          <w:sz w:val="22"/>
          <w:szCs w:val="22"/>
        </w:rPr>
        <w:t xml:space="preserve">• 표 3(인구사회) ↔ 시스템 우측 통계패널 표 하단 5개 행</w:t>
      </w:r>
    </w:p>
    <w:p>
      <w:pPr>
        <w:spacing w:after="120"/>
      </w:pPr>
      <w:r>
        <w:rPr>
          <w:rFonts w:ascii="맑은 고딕" w:cs="맑은 고딕" w:eastAsia="맑은 고딕" w:hAnsi="맑은 고딕"/>
          <w:b w:val="false"/>
          <w:bCs w:val="false"/>
          <w:sz w:val="22"/>
          <w:szCs w:val="22"/>
        </w:rPr>
        <w:t xml:space="preserve">• 구역경계·등시간권 폴리곤 ↔ 시스템 지도, 좌상단 슬라이더로 30/60분 전환, 필지 클릭 시 속성 팝업</w:t>
      </w:r>
    </w:p>
    <w:p>
      <w:pPr>
        <w:pStyle w:val="Heading2"/>
        <w:spacing w:after="140" w:before="280"/>
      </w:pPr>
      <w:r>
        <w:rPr>
          <w:rFonts w:ascii="맑은 고딕" w:cs="맑은 고딕" w:eastAsia="맑은 고딕" w:hAnsi="맑은 고딕"/>
          <w:b/>
          <w:bCs/>
        </w:rPr>
        <w:t xml:space="preserve">D. AI 활용 내역</w:t>
      </w:r>
    </w:p>
    <w:p>
      <w:pPr>
        <w:spacing w:after="120"/>
      </w:pPr>
      <w:r>
        <w:rPr>
          <w:rFonts w:ascii="맑은 고딕" w:cs="맑은 고딕" w:eastAsia="맑은 고딕" w:hAnsi="맑은 고딕"/>
          <w:b w:val="false"/>
          <w:bCs w:val="false"/>
          <w:sz w:val="22"/>
          <w:szCs w:val="22"/>
        </w:rPr>
        <w:t xml:space="preserve">본 프로젝트는 Claude(Anthropic, claude-sonnet-4-6)를 코딩 보조 도구로 활용했다. 활용 범위는 (1) 전처리 스크립트(Python) 작성 및 API 연동 디버깅, (2) React/MapLibre 기반 시스템 프론트엔드 구현, (3) 공개 출처(VWorld·SGIS·건축HUB·언론보도) 검색 및 1차 정리였다. API에서 받은 수치·통계는 모두 실제 API 응답을 직접 호출·검증했으며(예: 건축HUB의 BldRgstHubService 엔드포인트, VWorld 데이터API의 domain 파라미터 필수 등은 AI가 처음 제시한 정보가 틀려 실제 호출로 재검증함), 구역계 출처 고시번호는 토지이음(eum.go.kr) 직접 조회로 1차 확인했다. 분석의 해석과 성공요인 결론은 본인이 직접 작성했다.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맑은 고딕" w:cs="맑은 고딕" w:eastAsia="맑은 고딕" w:hAnsi="맑은 고딕"/>
      <w:b/>
      <w:bCs/>
      <w:color w:val="1A4F8B"/>
      <w:sz w:val="30"/>
      <w:szCs w:val="30"/>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1A4F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2026-06-24T19:21:10.138Z</dcterms:created>
  <dcterms:modified xsi:type="dcterms:W3CDTF">2026-06-24T19:21:10.139Z</dcterms:modified>
</cp:coreProperties>
</file>

<file path=docProps/custom.xml><?xml version="1.0" encoding="utf-8"?>
<Properties xmlns="http://schemas.openxmlformats.org/officeDocument/2006/custom-properties" xmlns:vt="http://schemas.openxmlformats.org/officeDocument/2006/docPropsVTypes"/>
</file>