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Structured Evidence Fixture</w:t>
      </w:r>
    </w:p>
    <w:p>
      <w:r>
        <w:t>PARKER DOCX TEST VALUE 46</w:t>
      </w:r>
    </w:p>
    <w:p>
      <w:pPr>
        <w:pStyle w:val="Heading1"/>
      </w:pPr>
      <w:r>
        <w:t>Literal fidelity controls</w:t>
      </w:r>
    </w:p>
    <w:p>
      <w:r>
        <w:t xml:space="preserve">This paragraph contains </w:t>
      </w:r>
      <w:r>
        <w:rPr>
          <w:b/>
        </w:rPr>
        <w:t>bold evidence</w:t>
      </w:r>
      <w:r>
        <w:t xml:space="preserve">, </w:t>
      </w:r>
      <w:r>
        <w:rPr>
          <w:i/>
        </w:rPr>
        <w:t>italic evidence</w:t>
      </w:r>
      <w:r>
        <w:t>, Unicode Māori, café, €42.00, and identifier 0004981.</w:t>
      </w:r>
    </w:p>
    <w:p>
      <w:pPr>
        <w:pStyle w:val="Heading2"/>
      </w:pPr>
      <w:r>
        <w:t>Numbered procedure</w:t>
      </w:r>
    </w:p>
    <w:p>
      <w:pPr>
        <w:pStyle w:val="ListNumber"/>
      </w:pPr>
      <w:r>
        <w:t>Capture original bytes.</w:t>
      </w:r>
    </w:p>
    <w:p>
      <w:pPr>
        <w:pStyle w:val="ListNumber"/>
      </w:pPr>
      <w:r>
        <w:t>Compute SHA-256.</w:t>
      </w:r>
    </w:p>
    <w:p>
      <w:pPr>
        <w:pStyle w:val="ListNumber"/>
      </w:pPr>
      <w:r>
        <w:t>Keep derivatives separate.</w:t>
      </w:r>
    </w:p>
    <w:p>
      <w:pPr>
        <w:pStyle w:val="Heading2"/>
      </w:pPr>
      <w:r>
        <w:t>Bullet controls</w:t>
      </w:r>
    </w:p>
    <w:p>
      <w:pPr>
        <w:pStyle w:val="ListBullet"/>
      </w:pPr>
      <w:r>
        <w:t>Literal characters</w:t>
      </w:r>
    </w:p>
    <w:p>
      <w:pPr>
        <w:pStyle w:val="ListBullet"/>
      </w:pPr>
      <w:r>
        <w:t>Leading zeroes</w:t>
      </w:r>
    </w:p>
    <w:p>
      <w:pPr>
        <w:pStyle w:val="ListBullet"/>
      </w:pPr>
      <w:r>
        <w:t>Structural boundaries</w:t>
      </w:r>
    </w:p>
    <w:p>
      <w:pPr>
        <w:pStyle w:val="Heading1"/>
      </w:pPr>
      <w:r>
        <w:t>Structured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Control</w:t>
            </w:r>
          </w:p>
        </w:tc>
      </w:tr>
      <w:tr>
        <w:tc>
          <w:tcPr>
            <w:tcW w:type="dxa" w:w="3120"/>
          </w:tcPr>
          <w:p>
            <w:r>
              <w:t>Reference</w:t>
            </w:r>
          </w:p>
        </w:tc>
        <w:tc>
          <w:tcPr>
            <w:tcW w:type="dxa" w:w="3120"/>
          </w:tcPr>
          <w:p>
            <w:r>
              <w:t>001245</w:t>
            </w:r>
          </w:p>
        </w:tc>
        <w:tc>
          <w:tcPr>
            <w:tcW w:type="dxa" w:w="3120"/>
          </w:tcPr>
          <w:p>
            <w:r>
              <w:t>DOCX-CELL-004</w:t>
            </w:r>
          </w:p>
        </w:tc>
      </w:tr>
      <w:tr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Te Whanganui-a-Tara</w:t>
            </w:r>
          </w:p>
        </w:tc>
        <w:tc>
          <w:tcPr>
            <w:tcW w:type="dxa" w:w="3120"/>
          </w:tcPr>
          <w:p>
            <w:r>
              <w:t>Unicode</w:t>
            </w:r>
          </w:p>
        </w:tc>
      </w:tr>
      <w:tr>
        <w:tc>
          <w:tcPr>
            <w:tcW w:type="dxa" w:w="3120"/>
          </w:tcPr>
          <w:p>
            <w:r>
              <w:t>Amount</w:t>
            </w:r>
          </w:p>
        </w:tc>
        <w:tc>
          <w:tcPr>
            <w:tcW w:type="dxa" w:w="3120"/>
          </w:tcPr>
          <w:p>
            <w:r>
              <w:t>NZ$3,210.09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</w:tr>
    </w:tbl>
    <w:p>
      <w:r>
        <w:br w:type="page"/>
      </w:r>
    </w:p>
    <w:p>
      <w:pPr>
        <w:pStyle w:val="Heading1"/>
      </w:pPr>
      <w:r>
        <w:t>Second-page section</w:t>
      </w:r>
    </w:p>
    <w:p>
      <w:r>
        <w:t>DOCX-PAGE-2-ONLY: STRUCTURE-7721</w:t>
      </w:r>
    </w:p>
    <w:p>
      <w:r>
        <w:t>Page boundaries and OOXML structure are derivative-sensitive controls.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evaluation evidence | Footer control DOCX-FOOTER-004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Parker Structured DOCX Fixture — PARKER-FIXTURE-2026-004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Structured Synthetic Fixture</dc:title>
  <dc:subject>Synthetic document-ingestion evaluation corpus</dc:subject>
  <dc:creator>Parker Synthetic Fixture Generator</dc:creator>
  <cp:keywords>synthetic, fixture, document ingestion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