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Arial" w:hAnsi="Arial"/>
          <w:b/>
          <w:color w:val="1A3A5C"/>
          <w:sz w:val="52"/>
        </w:rPr>
        <w:t>Zero-Touch Training</w:t>
      </w:r>
    </w:p>
    <w:p>
      <w:pPr>
        <w:spacing w:after="80"/>
      </w:pPr>
      <w:r>
        <w:rPr>
          <w:rFonts w:ascii="Arial" w:hAnsi="Arial"/>
          <w:color w:val="4472C4"/>
          <w:sz w:val="30"/>
        </w:rPr>
        <w:t>Executive Summary</w:t>
      </w:r>
    </w:p>
    <w:p>
      <w:pPr>
        <w:spacing w:after="40"/>
      </w:pPr>
      <w:r>
        <w:rPr>
          <w:rFonts w:ascii="Arial" w:hAnsi="Arial"/>
          <w:color w:val="666666"/>
          <w:sz w:val="19"/>
        </w:rPr>
        <w:t>Proof of Concept  ·  March 2026</w:t>
      </w:r>
    </w:p>
    <w:p>
      <w:pPr>
        <w:spacing w:before="20" w:after="20"/>
        <w:pBdr>
          <w:bottom w:val="single" w:sz="6" w:space="1" w:color="2E75B6"/>
        </w:pBdr>
      </w:pPr>
    </w:p>
    <w:p>
      <w:pPr>
        <w:spacing w:after="80"/>
      </w:pPr>
    </w:p>
    <w:tbl>
      <w:tblPr>
        <w:tblW w:type="auto" w:w="0"/>
        <w:jc w:val="left"/>
        <w:tblLook w:firstColumn="1" w:firstRow="1" w:lastColumn="0" w:lastRow="0" w:noHBand="0" w:noVBand="1" w:val="04A0"/>
        <w:tblW w:w="9360" w:type="dxa"/>
      </w:tblPr>
      <w:tblGrid>
        <w:gridCol w:w="9360"/>
      </w:tblGrid>
      <w:tr>
        <w:tc>
          <w:tcPr>
            <w:tcW w:type="dxa" w:w="9360"/>
            <w:shd w:val="clear" w:color="auto" w:fill="EBF3FB"/>
            <w:tcBorders>
              <w:top w:val="single" w:sz="4" w:space="0" w:color="2E75B6"/>
              <w:left w:val="single" w:sz="4" w:space="0" w:color="2E75B6"/>
              <w:bottom w:val="single" w:sz="4" w:space="0" w:color="2E75B6"/>
              <w:right w:val="single" w:sz="4" w:space="0" w:color="2E75B6"/>
            </w:tcBorders>
          </w:tcPr>
          <w:p>
            <w:pPr>
              <w:spacing w:before="100" w:after="100"/>
            </w:pPr>
            <w:r>
              <w:rPr>
                <w:rFonts w:ascii="Arial" w:hAnsi="Arial"/>
                <w:b/>
                <w:color w:val="1A3A5C"/>
                <w:sz w:val="21"/>
              </w:rPr>
              <w:t xml:space="preserve">“  </w:t>
            </w:r>
            <w:r>
              <w:rPr>
                <w:rFonts w:ascii="Arial" w:hAnsi="Arial"/>
                <w:i/>
                <w:sz w:val="21"/>
              </w:rPr>
              <w:t>We’re not building training. We’re compiling it from the same assets that already keep the system running.</w:t>
            </w:r>
          </w:p>
        </w:tc>
      </w:tr>
    </w:tbl>
    <w:p>
      <w:pPr>
        <w:spacing w:after="120"/>
      </w:pPr>
    </w:p>
    <w:p>
      <w:pPr>
        <w:pStyle w:val="Heading1"/>
      </w:pPr>
      <w:r>
        <w:rPr>
          <w:rFonts w:ascii="Arial" w:hAnsi="Arial"/>
          <w:b/>
          <w:color w:val="1A3A5C"/>
          <w:sz w:val="30"/>
        </w:rPr>
        <w:t>The Problem</w:t>
      </w:r>
    </w:p>
    <w:p>
      <w:pPr>
        <w:spacing w:before="20" w:after="20"/>
        <w:pBdr>
          <w:bottom w:val="single" w:sz="6" w:space="1" w:color="CCCCCC"/>
        </w:pBdr>
      </w:pPr>
    </w:p>
    <w:p>
      <w:pPr>
        <w:spacing w:after="120"/>
      </w:pPr>
      <w:r>
        <w:rPr>
          <w:rFonts w:ascii="Arial" w:hAnsi="Arial"/>
          <w:sz w:val="21"/>
        </w:rPr>
        <w:t>Enterprise training today is expensive to author, slow to update, quickly outdated, and disconnected from the systems and procedures it is supposed to teach. In ERP environments this is compounded by site-specific process variation, multiple UI layers, and high personnel turnover. The same problem exists in hardware and maintenance environments: procedures are taught person-to-person, institutional knowledge walks out the door, and mistakes carry real safety and operational consequences.</w:t>
      </w:r>
    </w:p>
    <w:p>
      <w:pPr>
        <w:spacing w:after="120"/>
      </w:pPr>
      <w:r>
        <w:rPr>
          <w:rFonts w:ascii="Arial" w:hAnsi="Arial"/>
          <w:sz w:val="21"/>
        </w:rPr>
        <w:t>A second, often overlooked layer complicates ERP training further: many organizations deploy a Low Code platform — Appian, ServiceNow, OutSystems, or a custom web portal — as a front-end that sits between the clerk and the underlying SAP transaction. The clerk never sees SAP Fiori; they see the Low Code screen. Training built for the wrong interface doesn’t transfer.</w:t>
      </w:r>
    </w:p>
    <w:p>
      <w:pPr>
        <w:pStyle w:val="Heading1"/>
      </w:pPr>
      <w:r>
        <w:rPr>
          <w:rFonts w:ascii="Arial" w:hAnsi="Arial"/>
          <w:b/>
          <w:color w:val="1A3A5C"/>
          <w:sz w:val="30"/>
        </w:rPr>
        <w:t>The Core Idea</w:t>
      </w:r>
    </w:p>
    <w:p>
      <w:pPr>
        <w:spacing w:before="20" w:after="20"/>
        <w:pBdr>
          <w:bottom w:val="single" w:sz="6" w:space="1" w:color="CCCCCC"/>
        </w:pBdr>
      </w:pPr>
    </w:p>
    <w:p>
      <w:pPr>
        <w:spacing w:after="120"/>
      </w:pPr>
      <w:r>
        <w:rPr>
          <w:rFonts w:ascii="Arial" w:hAnsi="Arial"/>
          <w:sz w:val="21"/>
        </w:rPr>
        <w:t>Training should be generated automatically from the same assets that keep the system running — test scripts, process models, and configuration data. This is Training-as-Code, embedded in the development and operations pipeline.</w:t>
      </w:r>
    </w:p>
    <w:p>
      <w:pPr>
        <w:pStyle w:val="ListBullet"/>
        <w:spacing w:after="60"/>
      </w:pPr>
      <w:r>
        <w:rPr>
          <w:rFonts w:ascii="Arial" w:hAnsi="Arial"/>
          <w:b/>
          <w:sz w:val="21"/>
        </w:rPr>
        <w:t xml:space="preserve">Capture, don’t draw: </w:t>
      </w:r>
      <w:r>
        <w:rPr>
          <w:rFonts w:ascii="Arial" w:hAnsi="Arial"/>
          <w:sz w:val="21"/>
        </w:rPr>
        <w:t>A Playwright browser automation script navigates the real system once and captures every screen state. This produces training content with real-system fidelity at near-zero marginal cost — and works with any web-based UI.</w:t>
      </w:r>
    </w:p>
    <w:p>
      <w:pPr>
        <w:pStyle w:val="ListBullet"/>
        <w:spacing w:after="60"/>
      </w:pPr>
      <w:r>
        <w:rPr>
          <w:rFonts w:ascii="Arial" w:hAnsi="Arial"/>
          <w:b/>
          <w:sz w:val="21"/>
        </w:rPr>
        <w:t xml:space="preserve">System-agnostic game engine: </w:t>
      </w:r>
      <w:r>
        <w:rPr>
          <w:rFonts w:ascii="Arial" w:hAnsi="Arial"/>
          <w:sz w:val="21"/>
        </w:rPr>
        <w:t>The training game engine (React SPA) does not know what system it simulates. It only needs screenshots and step definitions. SAP Fiori, Appian, ServiceNow, ERPNext, or any custom portal can feed the same engine without modification.</w:t>
      </w:r>
    </w:p>
    <w:p>
      <w:pPr>
        <w:pStyle w:val="ListBullet"/>
        <w:spacing w:after="60"/>
      </w:pPr>
      <w:r>
        <w:rPr>
          <w:rFonts w:ascii="Arial" w:hAnsi="Arial"/>
          <w:b/>
          <w:sz w:val="21"/>
        </w:rPr>
        <w:t xml:space="preserve">Auto-update on system change: </w:t>
      </w:r>
      <w:r>
        <w:rPr>
          <w:rFonts w:ascii="Arial" w:hAnsi="Arial"/>
          <w:sz w:val="21"/>
        </w:rPr>
        <w:t>When the underlying system or process changes, re-run the capture script. Training updates automatically — no manual rework.</w:t>
      </w:r>
    </w:p>
    <w:p>
      <w:pPr>
        <w:pStyle w:val="Heading1"/>
      </w:pPr>
      <w:r>
        <w:rPr>
          <w:rFonts w:ascii="Arial" w:hAnsi="Arial"/>
          <w:b/>
          <w:color w:val="1A3A5C"/>
          <w:sz w:val="30"/>
        </w:rPr>
        <w:t>What Has Been Built</w:t>
      </w:r>
    </w:p>
    <w:p>
      <w:pPr>
        <w:spacing w:before="20" w:after="20"/>
        <w:pBdr>
          <w:bottom w:val="single" w:sz="6" w:space="1" w:color="CCCCCC"/>
        </w:pBdr>
      </w:pPr>
    </w:p>
    <w:p>
      <w:pPr>
        <w:spacing w:after="120"/>
      </w:pPr>
      <w:r>
        <w:rPr>
          <w:rFonts w:ascii="Arial" w:hAnsi="Arial"/>
          <w:sz w:val="21"/>
        </w:rPr>
        <w:t>The proof of concept covers ERP software training (SAP MIGO Goods Receipt, 5 scenarios) and equipment maintenance training (AR-15 field strip), delivered through a single domain-agnostic game engine. Total development time: 18 days of off-hours work. Total external API spend: under $200.</w:t>
      </w:r>
    </w:p>
    <w:p>
      <w:pPr>
        <w:pStyle w:val="Heading2"/>
      </w:pPr>
      <w:r>
        <w:rPr>
          <w:rFonts w:ascii="Arial" w:hAnsi="Arial"/>
          <w:b/>
          <w:color w:val="1A3A5C"/>
          <w:sz w:val="24"/>
        </w:rPr>
        <w:t>Software Training — ERP Goods Receipt (5 Scenarios)</w:t>
      </w:r>
    </w:p>
    <w:tbl>
      <w:tblPr>
        <w:tblW w:type="auto" w:w="0"/>
        <w:jc w:val="left"/>
        <w:tblLook w:firstColumn="1" w:firstRow="1" w:lastColumn="0" w:lastRow="0" w:noHBand="0" w:noVBand="1" w:val="04A0"/>
        <w:tblW w:w="10800" w:type="dxa"/>
      </w:tblPr>
      <w:tblGrid>
        <w:gridCol w:w="3120"/>
        <w:gridCol w:w="3120"/>
        <w:gridCol w:w="3120"/>
      </w:tblGrid>
      <w:tr>
        <w:tc>
          <w:tcPr>
            <w:tcW w:type="dxa" w:w="5184"/>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Learner-Facing Label</w:t>
            </w:r>
          </w:p>
        </w:tc>
        <w:tc>
          <w:tcPr>
            <w:tcW w:type="dxa" w:w="3456"/>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Technical Profile</w:t>
            </w:r>
          </w:p>
        </w:tc>
        <w:tc>
          <w:tcPr>
            <w:tcW w:type="dxa" w:w="2160"/>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Difficulty</w:t>
            </w:r>
          </w:p>
        </w:tc>
      </w:tr>
      <w:tr>
        <w:tc>
          <w:tcPr>
            <w:tcW w:type="dxa" w:w="5184"/>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Receiving a Regular Shipment</w:t>
            </w:r>
          </w:p>
        </w:tc>
        <w:tc>
          <w:tcPr>
            <w:tcW w:type="dxa" w:w="3456"/>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Standard Dry Goods</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Beginner</w:t>
            </w:r>
          </w:p>
        </w:tc>
      </w:tr>
      <w:tr>
        <w:tc>
          <w:tcPr>
            <w:tcW w:type="dxa" w:w="5184"/>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Receiving Hazmat / Dangerous Goods</w:t>
            </w:r>
          </w:p>
        </w:tc>
        <w:tc>
          <w:tcPr>
            <w:tcW w:type="dxa" w:w="3456"/>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Hazmat / DOT-OSHA</w:t>
            </w:r>
          </w:p>
        </w:tc>
        <w:tc>
          <w:tcPr>
            <w:tcW w:type="dxa" w:w="216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Intermediate</w:t>
            </w:r>
          </w:p>
        </w:tc>
      </w:tr>
      <w:tr>
        <w:tc>
          <w:tcPr>
            <w:tcW w:type="dxa" w:w="5184"/>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Receiving High-Value / Serialized Items</w:t>
            </w:r>
          </w:p>
        </w:tc>
        <w:tc>
          <w:tcPr>
            <w:tcW w:type="dxa" w:w="3456"/>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Serialized Items</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Intermediate</w:t>
            </w:r>
          </w:p>
        </w:tc>
      </w:tr>
      <w:tr>
        <w:tc>
          <w:tcPr>
            <w:tcW w:type="dxa" w:w="5184"/>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Receiving Refrigerated / Cold Chain</w:t>
            </w:r>
          </w:p>
        </w:tc>
        <w:tc>
          <w:tcPr>
            <w:tcW w:type="dxa" w:w="3456"/>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Pharma / GxP</w:t>
            </w:r>
          </w:p>
        </w:tc>
        <w:tc>
          <w:tcPr>
            <w:tcW w:type="dxa" w:w="216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Advanced</w:t>
            </w:r>
          </w:p>
        </w:tc>
      </w:tr>
      <w:tr>
        <w:tc>
          <w:tcPr>
            <w:tcW w:type="dxa" w:w="5184"/>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Receiving Same-Day Distribution Items</w:t>
            </w:r>
          </w:p>
        </w:tc>
        <w:tc>
          <w:tcPr>
            <w:tcW w:type="dxa" w:w="3456"/>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Perishable / SEDC</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Advanced</w:t>
            </w:r>
          </w:p>
        </w:tc>
      </w:tr>
    </w:tbl>
    <w:p>
      <w:pPr>
        <w:spacing w:after="120"/>
      </w:pPr>
    </w:p>
    <w:p>
      <w:pPr>
        <w:pStyle w:val="Heading2"/>
      </w:pPr>
      <w:r>
        <w:rPr>
          <w:rFonts w:ascii="Arial" w:hAnsi="Arial"/>
          <w:b/>
          <w:color w:val="1A3A5C"/>
          <w:sz w:val="24"/>
        </w:rPr>
        <w:t>Hardware Training — Equipment Maintenance (1 Scenario)</w:t>
      </w:r>
    </w:p>
    <w:p>
      <w:pPr>
        <w:spacing w:after="120"/>
      </w:pPr>
      <w:r>
        <w:rPr>
          <w:rFonts w:ascii="Arial" w:hAnsi="Arial"/>
          <w:sz w:val="21"/>
        </w:rPr>
        <w:t>AR-15 field strip: 8 steps from verification-clear through disassembly, inspection, and reassembly. The same game engine supports hardware scenarios via a branding abstraction layer (steel-grey shell, safety-orange accent, OBSERVE / FOLLOW ALONG / DO IT / SPEED RUN level names). Future hardware scenarios include automotive maintenance and industrial lockout/tagout.</w:t>
      </w:r>
    </w:p>
    <w:p>
      <w:pPr>
        <w:pStyle w:val="Heading2"/>
      </w:pPr>
      <w:r>
        <w:rPr>
          <w:rFonts w:ascii="Arial" w:hAnsi="Arial"/>
          <w:b/>
          <w:color w:val="1A3A5C"/>
          <w:sz w:val="24"/>
        </w:rPr>
        <w:t>Game Engine — Four-Level Progression</w:t>
      </w:r>
    </w:p>
    <w:p>
      <w:pPr>
        <w:spacing w:after="120"/>
      </w:pPr>
      <w:r>
        <w:rPr>
          <w:rFonts w:ascii="Arial" w:hAnsi="Arial"/>
          <w:sz w:val="21"/>
        </w:rPr>
        <w:t>Every scenario runs through four progressive levels. The learner advances through the same task with decreasing scaffolding and increasing pressure.</w:t>
      </w:r>
    </w:p>
    <w:tbl>
      <w:tblPr>
        <w:tblW w:type="auto" w:w="0"/>
        <w:jc w:val="left"/>
        <w:tblLook w:firstColumn="1" w:firstRow="1" w:lastColumn="0" w:lastRow="0" w:noHBand="0" w:noVBand="1" w:val="04A0"/>
        <w:tblW w:w="10080" w:type="dxa"/>
      </w:tblPr>
      <w:tblGrid>
        <w:gridCol w:w="3120"/>
        <w:gridCol w:w="3120"/>
        <w:gridCol w:w="3120"/>
      </w:tblGrid>
      <w:tr>
        <w:tc>
          <w:tcPr>
            <w:tcW w:type="dxa" w:w="792"/>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Level</w:t>
            </w:r>
          </w:p>
        </w:tc>
        <w:tc>
          <w:tcPr>
            <w:tcW w:type="dxa" w:w="2736"/>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Name</w:t>
            </w:r>
          </w:p>
        </w:tc>
        <w:tc>
          <w:tcPr>
            <w:tcW w:type="dxa" w:w="6552"/>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Description</w:t>
            </w:r>
          </w:p>
        </w:tc>
      </w:tr>
      <w:tr>
        <w:tc>
          <w:tcPr>
            <w:tcW w:type="dxa" w:w="79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0</w:t>
            </w:r>
          </w:p>
        </w:tc>
        <w:tc>
          <w:tcPr>
            <w:tcW w:type="dxa" w:w="2736"/>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EXPLORE / OBSERVE</w:t>
            </w:r>
          </w:p>
        </w:tc>
        <w:tc>
          <w:tcPr>
            <w:tcW w:type="dxa" w:w="655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No task pressure. Explore every element with descriptions. No failure state. Builds familiarity.</w:t>
            </w:r>
          </w:p>
        </w:tc>
      </w:tr>
      <w:tr>
        <w:tc>
          <w:tcPr>
            <w:tcW w:type="dxa" w:w="792"/>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1</w:t>
            </w:r>
          </w:p>
        </w:tc>
        <w:tc>
          <w:tcPr>
            <w:tcW w:type="dxa" w:w="2736"/>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GUIDED / FOLLOW ALONG</w:t>
            </w:r>
          </w:p>
        </w:tc>
        <w:tc>
          <w:tcPr>
            <w:tcW w:type="dxa" w:w="6552"/>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Task with step-by-step highlights. Wrong clicks redirect gently. Builds correct muscle memory.</w:t>
            </w:r>
          </w:p>
        </w:tc>
      </w:tr>
      <w:tr>
        <w:tc>
          <w:tcPr>
            <w:tcW w:type="dxa" w:w="79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2</w:t>
            </w:r>
          </w:p>
        </w:tc>
        <w:tc>
          <w:tcPr>
            <w:tcW w:type="dxa" w:w="2736"/>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ON YOUR OWN / DO IT</w:t>
            </w:r>
          </w:p>
        </w:tc>
        <w:tc>
          <w:tcPr>
            <w:tcW w:type="dxa" w:w="655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No highlights. Decoy fields visible. Hints cost XP. Errors show downstream production consequence.</w:t>
            </w:r>
          </w:p>
        </w:tc>
      </w:tr>
      <w:tr>
        <w:tc>
          <w:tcPr>
            <w:tcW w:type="dxa" w:w="792"/>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3</w:t>
            </w:r>
          </w:p>
        </w:tc>
        <w:tc>
          <w:tcPr>
            <w:tcW w:type="dxa" w:w="2736"/>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CHALLENGE / SPEED RUN</w:t>
            </w:r>
          </w:p>
        </w:tc>
        <w:tc>
          <w:tcPr>
            <w:tcW w:type="dxa" w:w="6552"/>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Timer on. No hints. Rotating narrative premise card. Score recorded.</w:t>
            </w:r>
          </w:p>
        </w:tc>
      </w:tr>
    </w:tbl>
    <w:p>
      <w:pPr>
        <w:spacing w:after="120"/>
      </w:pPr>
    </w:p>
    <w:p>
      <w:pPr>
        <w:pStyle w:val="Heading2"/>
      </w:pPr>
      <w:r>
        <w:rPr>
          <w:rFonts w:ascii="Arial" w:hAnsi="Arial"/>
          <w:b/>
          <w:color w:val="1A3A5C"/>
          <w:sz w:val="24"/>
        </w:rPr>
        <w:t>Engagement Mechanics (All Built and Working)</w:t>
      </w:r>
    </w:p>
    <w:p>
      <w:pPr>
        <w:spacing w:after="120"/>
      </w:pPr>
      <w:r>
        <w:rPr>
          <w:rFonts w:ascii="Arial" w:hAnsi="Arial"/>
          <w:sz w:val="21"/>
        </w:rPr>
        <w:t>Research benchmark: UKG Pro’s game-based training redesign achieved a 67% higher completion rate vs. their previous eLearning format. All mechanics below are implemented and functional:</w:t>
      </w:r>
    </w:p>
    <w:p>
      <w:pPr>
        <w:pStyle w:val="ListBullet"/>
        <w:spacing w:after="60"/>
      </w:pPr>
      <w:r>
        <w:rPr>
          <w:rFonts w:ascii="Arial" w:hAnsi="Arial"/>
          <w:b/>
          <w:sz w:val="21"/>
        </w:rPr>
        <w:t xml:space="preserve">Consequence-based error feedback: </w:t>
      </w:r>
      <w:r>
        <w:rPr>
          <w:rFonts w:ascii="Arial" w:hAnsi="Arial"/>
          <w:sz w:val="21"/>
        </w:rPr>
        <w:t>Wrong clicks show a structured panel explaining the real downstream production impact — not just “wrong.”</w:t>
      </w:r>
    </w:p>
    <w:p>
      <w:pPr>
        <w:pStyle w:val="ListBullet"/>
        <w:spacing w:after="60"/>
      </w:pPr>
      <w:r>
        <w:rPr>
          <w:rFonts w:ascii="Arial" w:hAnsi="Arial"/>
          <w:b/>
          <w:sz w:val="21"/>
        </w:rPr>
        <w:t xml:space="preserve">Post-level debrief: </w:t>
      </w:r>
      <w:r>
        <w:rPr>
          <w:rFonts w:ascii="Arial" w:hAnsi="Arial"/>
          <w:sz w:val="21"/>
        </w:rPr>
        <w:t>Expandable “why this step matters” cards reinforce process rationale after each level.</w:t>
      </w:r>
    </w:p>
    <w:p>
      <w:pPr>
        <w:pStyle w:val="ListBullet"/>
        <w:spacing w:after="60"/>
      </w:pPr>
      <w:r>
        <w:rPr>
          <w:rFonts w:ascii="Arial" w:hAnsi="Arial"/>
          <w:b/>
          <w:sz w:val="21"/>
        </w:rPr>
        <w:t xml:space="preserve">Timer and audio cues: </w:t>
      </w:r>
      <w:r>
        <w:rPr>
          <w:rFonts w:ascii="Arial" w:hAnsi="Arial"/>
          <w:sz w:val="21"/>
        </w:rPr>
        <w:t>Countdown in Level 3. Tick sounds in last 10 seconds. Win fanfare on completion.</w:t>
      </w:r>
    </w:p>
    <w:p>
      <w:pPr>
        <w:pStyle w:val="ListBullet"/>
        <w:spacing w:after="60"/>
      </w:pPr>
      <w:r>
        <w:rPr>
          <w:rFonts w:ascii="Arial" w:hAnsi="Arial"/>
          <w:b/>
          <w:sz w:val="21"/>
        </w:rPr>
        <w:t xml:space="preserve">Confetti celebration: </w:t>
      </w:r>
      <w:r>
        <w:rPr>
          <w:rFonts w:ascii="Arial" w:hAnsi="Arial"/>
          <w:sz w:val="21"/>
        </w:rPr>
        <w:t>Visual celebration at the exact moment of success — measurable driver of task repetition.</w:t>
      </w:r>
    </w:p>
    <w:p>
      <w:pPr>
        <w:pStyle w:val="ListBullet"/>
        <w:spacing w:after="60"/>
      </w:pPr>
      <w:r>
        <w:rPr>
          <w:rFonts w:ascii="Arial" w:hAnsi="Arial"/>
          <w:b/>
          <w:sz w:val="21"/>
        </w:rPr>
        <w:t xml:space="preserve">Narrative premise cards: </w:t>
      </w:r>
      <w:r>
        <w:rPr>
          <w:rFonts w:ascii="Arial" w:hAnsi="Arial"/>
          <w:sz w:val="21"/>
        </w:rPr>
        <w:t>4 rotating story scenarios before Level 3 give real operational stakes without real-world consequences.</w:t>
      </w:r>
    </w:p>
    <w:p>
      <w:pPr>
        <w:pStyle w:val="ListBullet"/>
        <w:spacing w:after="60"/>
      </w:pPr>
      <w:r>
        <w:rPr>
          <w:rFonts w:ascii="Arial" w:hAnsi="Arial"/>
          <w:b/>
          <w:sz w:val="21"/>
        </w:rPr>
        <w:t xml:space="preserve">Decoy fields: </w:t>
      </w:r>
      <w:r>
        <w:rPr>
          <w:rFonts w:ascii="Arial" w:hAnsi="Arial"/>
          <w:sz w:val="21"/>
        </w:rPr>
        <w:t>2–3 non-target fields styled with subtle borders create multiple plausible click targets in Levels 2–3.</w:t>
      </w:r>
    </w:p>
    <w:p>
      <w:pPr>
        <w:pStyle w:val="ListBullet"/>
        <w:spacing w:after="60"/>
      </w:pPr>
      <w:r>
        <w:rPr>
          <w:rFonts w:ascii="Arial" w:hAnsi="Arial"/>
          <w:b/>
          <w:sz w:val="21"/>
        </w:rPr>
        <w:t xml:space="preserve">Adaptive hint system: </w:t>
      </w:r>
      <w:r>
        <w:rPr>
          <w:rFonts w:ascii="Arial" w:hAnsi="Arial"/>
          <w:sz w:val="21"/>
        </w:rPr>
        <w:t>After 3 consecutive wrong clicks in Level 2, the next hint becomes free.</w:t>
      </w:r>
    </w:p>
    <w:p>
      <w:pPr>
        <w:pStyle w:val="ListBullet"/>
        <w:spacing w:after="60"/>
      </w:pPr>
      <w:r>
        <w:rPr>
          <w:rFonts w:ascii="Arial" w:hAnsi="Arial"/>
          <w:b/>
          <w:sz w:val="21"/>
        </w:rPr>
        <w:t xml:space="preserve">Review mode: </w:t>
      </w:r>
      <w:r>
        <w:rPr>
          <w:rFonts w:ascii="Arial" w:hAnsi="Arial"/>
          <w:sz w:val="21"/>
        </w:rPr>
        <w:t>5 scrambled steps accessible from the win screen for spaced repetition.</w:t>
      </w:r>
    </w:p>
    <w:p>
      <w:pPr>
        <w:pStyle w:val="Heading1"/>
      </w:pPr>
      <w:r>
        <w:rPr>
          <w:rFonts w:ascii="Arial" w:hAnsi="Arial"/>
          <w:b/>
          <w:color w:val="1A3A5C"/>
          <w:sz w:val="30"/>
        </w:rPr>
        <w:t>UX Design — Built for the Warehouse Floor</w:t>
      </w:r>
    </w:p>
    <w:p>
      <w:pPr>
        <w:spacing w:before="20" w:after="20"/>
        <w:pBdr>
          <w:bottom w:val="single" w:sz="6" w:space="1" w:color="CCCCCC"/>
        </w:pBdr>
      </w:pPr>
    </w:p>
    <w:p>
      <w:pPr>
        <w:spacing w:after="120"/>
      </w:pPr>
      <w:r>
        <w:rPr>
          <w:rFonts w:ascii="Arial" w:hAnsi="Arial"/>
          <w:sz w:val="21"/>
        </w:rPr>
        <w:t>The primary learner is someone in their first week in a warehouse. They may have never opened SAP. They are on the floor, on a shared terminal or tablet, under time pressure. Five design principles govern the learner-facing experience:</w:t>
      </w:r>
    </w:p>
    <w:p>
      <w:pPr>
        <w:pStyle w:val="ListBullet"/>
        <w:spacing w:after="60"/>
      </w:pPr>
      <w:r>
        <w:rPr>
          <w:rFonts w:ascii="Arial" w:hAnsi="Arial"/>
          <w:b/>
          <w:sz w:val="21"/>
        </w:rPr>
        <w:t xml:space="preserve">Task-first language: </w:t>
      </w:r>
      <w:r>
        <w:rPr>
          <w:rFonts w:ascii="Arial" w:hAnsi="Arial"/>
          <w:sz w:val="21"/>
        </w:rPr>
        <w:t>“Receiving a Regular Shipment” instead of “Goods Receipt — Standard Dry Goods.” Plain language names are the headline; SAP technical labels are subtitles.</w:t>
      </w:r>
    </w:p>
    <w:p>
      <w:pPr>
        <w:pStyle w:val="ListBullet"/>
        <w:spacing w:after="60"/>
      </w:pPr>
      <w:r>
        <w:rPr>
          <w:rFonts w:ascii="Arial" w:hAnsi="Arial"/>
          <w:b/>
          <w:sz w:val="21"/>
        </w:rPr>
        <w:t xml:space="preserve">Two entry modes: </w:t>
      </w:r>
      <w:r>
        <w:rPr>
          <w:rFonts w:ascii="Arial" w:hAnsi="Arial"/>
          <w:sz w:val="21"/>
        </w:rPr>
        <w:t>“I need help right now” routes to a plain step-list reference view. “I want to practice” leads to the full four-level trainer.</w:t>
      </w:r>
    </w:p>
    <w:p>
      <w:pPr>
        <w:pStyle w:val="ListBullet"/>
        <w:spacing w:after="60"/>
      </w:pPr>
      <w:r>
        <w:rPr>
          <w:rFonts w:ascii="Arial" w:hAnsi="Arial"/>
          <w:b/>
          <w:sz w:val="21"/>
        </w:rPr>
        <w:t xml:space="preserve">Situation-based navigation: </w:t>
      </w:r>
      <w:r>
        <w:rPr>
          <w:rFonts w:ascii="Arial" w:hAnsi="Arial"/>
          <w:sz w:val="21"/>
        </w:rPr>
        <w:t>A two-question flow (what arrived? help now or practice?) replaces category label selection that new users can’t parse.</w:t>
      </w:r>
    </w:p>
    <w:p>
      <w:pPr>
        <w:pStyle w:val="ListBullet"/>
        <w:spacing w:after="60"/>
      </w:pPr>
      <w:r>
        <w:rPr>
          <w:rFonts w:ascii="Arial" w:hAnsi="Arial"/>
          <w:b/>
          <w:sz w:val="21"/>
        </w:rPr>
        <w:t xml:space="preserve">Progress-aware level selection: </w:t>
      </w:r>
      <w:r>
        <w:rPr>
          <w:rFonts w:ascii="Arial" w:hAnsi="Arial"/>
          <w:sz w:val="21"/>
        </w:rPr>
        <w:t>First-time learners land on EXPLORE automatically and are prompted forward after each level. Completed levels show a visual indicator.</w:t>
      </w:r>
    </w:p>
    <w:p>
      <w:pPr>
        <w:pStyle w:val="ListBullet"/>
        <w:spacing w:after="60"/>
      </w:pPr>
      <w:r>
        <w:rPr>
          <w:rFonts w:ascii="Arial" w:hAnsi="Arial"/>
          <w:b/>
          <w:sz w:val="21"/>
        </w:rPr>
        <w:t xml:space="preserve">Floor-friendly affordances: </w:t>
      </w:r>
      <w:r>
        <w:rPr>
          <w:rFonts w:ascii="Arial" w:hAnsi="Arial"/>
          <w:sz w:val="21"/>
        </w:rPr>
        <w:t>Minimum 48px tap targets, high contrast, no hover-dependent interactions, minimal scrolling to primary action, large readable step text.</w:t>
      </w:r>
    </w:p>
    <w:p>
      <w:pPr>
        <w:pStyle w:val="Heading1"/>
      </w:pPr>
      <w:r>
        <w:rPr>
          <w:rFonts w:ascii="Arial" w:hAnsi="Arial"/>
          <w:b/>
          <w:color w:val="1A3A5C"/>
          <w:sz w:val="30"/>
        </w:rPr>
        <w:t>Architecture — Capture Pipeline &amp; System Flexibility</w:t>
      </w:r>
    </w:p>
    <w:p>
      <w:pPr>
        <w:spacing w:before="20" w:after="20"/>
        <w:pBdr>
          <w:bottom w:val="single" w:sz="6" w:space="1" w:color="CCCCCC"/>
        </w:pBdr>
      </w:pPr>
    </w:p>
    <w:p>
      <w:pPr>
        <w:spacing w:after="120"/>
      </w:pPr>
      <w:r>
        <w:rPr>
          <w:rFonts w:ascii="Arial" w:hAnsi="Arial"/>
          <w:sz w:val="21"/>
        </w:rPr>
        <w:t>The trainer’s game engine is completely system-agnostic. It requires only screenshots and step definitions — it does not care what system produced them. This is the foundation of the platform’s flexibility.</w:t>
      </w:r>
    </w:p>
    <w:p>
      <w:pPr>
        <w:pStyle w:val="Heading2"/>
      </w:pPr>
      <w:r>
        <w:rPr>
          <w:rFonts w:ascii="Arial" w:hAnsi="Arial"/>
          <w:b/>
          <w:color w:val="1A3A5C"/>
          <w:sz w:val="24"/>
        </w:rPr>
        <w:t>Phase 1 (Current): Drawn Screenshots</w:t>
      </w:r>
    </w:p>
    <w:p>
      <w:pPr>
        <w:spacing w:after="120"/>
      </w:pPr>
      <w:r>
        <w:rPr>
          <w:rFonts w:ascii="Arial" w:hAnsi="Arial"/>
          <w:sz w:val="21"/>
        </w:rPr>
        <w:t>The PoC generates training screens using a Python/Pillow script that draws SAP-like fields and tables programmatically. This proved the game engine, pedagogical mechanics, and scenario structure at minimal cost. Fidelity is approximate.</w:t>
      </w:r>
    </w:p>
    <w:p>
      <w:pPr>
        <w:pStyle w:val="Heading2"/>
      </w:pPr>
      <w:r>
        <w:rPr>
          <w:rFonts w:ascii="Arial" w:hAnsi="Arial"/>
          <w:b/>
          <w:color w:val="1A3A5C"/>
          <w:sz w:val="24"/>
        </w:rPr>
        <w:t>Phase 2 (Next): Playwright Capture Pipeline</w:t>
      </w:r>
    </w:p>
    <w:p>
      <w:pPr>
        <w:spacing w:after="120"/>
      </w:pPr>
      <w:r>
        <w:rPr>
          <w:rFonts w:ascii="Arial" w:hAnsi="Arial"/>
          <w:sz w:val="21"/>
        </w:rPr>
        <w:t>A Playwright browser automation script replaces the drawing pipeline. A developer walks through the workflow once in any real or sandbox system. The script captures a screenshot at each step, inspects the DOM to find the target element, records its bounding box as hotspot coordinates, and outputs a complete scenario pack. The game engine is unchanged.</w:t>
      </w:r>
    </w:p>
    <w:tbl>
      <w:tblPr>
        <w:tblW w:type="auto" w:w="0"/>
        <w:jc w:val="left"/>
        <w:tblLook w:firstColumn="1" w:firstRow="1" w:lastColumn="0" w:lastRow="0" w:noHBand="0" w:noVBand="1" w:val="04A0"/>
        <w:tblW w:w="9360" w:type="dxa"/>
      </w:tblPr>
      <w:tblGrid>
        <w:gridCol w:w="9360"/>
      </w:tblGrid>
      <w:tr>
        <w:tc>
          <w:tcPr>
            <w:tcW w:type="dxa" w:w="9360"/>
            <w:shd w:val="clear" w:color="auto" w:fill="F0F6FF"/>
            <w:tcBorders>
              <w:top w:val="single" w:sz="4" w:space="0" w:color="4472C4"/>
              <w:left w:val="single" w:sz="4" w:space="0" w:color="4472C4"/>
              <w:bottom w:val="single" w:sz="4" w:space="0" w:color="4472C4"/>
              <w:right w:val="single" w:sz="4" w:space="0" w:color="4472C4"/>
            </w:tcBorders>
          </w:tcPr>
          <w:p>
            <w:pPr>
              <w:spacing w:before="100" w:after="100"/>
            </w:pPr>
            <w:r>
              <w:rPr>
                <w:rFonts w:ascii="Arial" w:hAnsi="Arial"/>
                <w:i/>
                <w:sz w:val="21"/>
              </w:rPr>
              <w:t>Real System (any web UI)  →  Playwright Recorder  →  Auto-generated scenario pack  →  Game engine (unchanged)  →  Fully interactive trainer</w:t>
            </w:r>
          </w:p>
        </w:tc>
      </w:tr>
    </w:tbl>
    <w:p>
      <w:pPr>
        <w:spacing w:after="120"/>
      </w:pPr>
    </w:p>
    <w:p>
      <w:pPr>
        <w:pStyle w:val="Heading2"/>
      </w:pPr>
      <w:r>
        <w:rPr>
          <w:rFonts w:ascii="Arial" w:hAnsi="Arial"/>
          <w:b/>
          <w:color w:val="1A3A5C"/>
          <w:sz w:val="24"/>
        </w:rPr>
        <w:t>System Compatibility</w:t>
      </w:r>
    </w:p>
    <w:tbl>
      <w:tblPr>
        <w:tblW w:type="auto" w:w="0"/>
        <w:jc w:val="left"/>
        <w:tblLook w:firstColumn="1" w:firstRow="1" w:lastColumn="0" w:lastRow="0" w:noHBand="0" w:noVBand="1" w:val="04A0"/>
        <w:tblW w:w="10800" w:type="dxa"/>
      </w:tblPr>
      <w:tblGrid>
        <w:gridCol w:w="4680"/>
        <w:gridCol w:w="4680"/>
      </w:tblGrid>
      <w:tr>
        <w:tc>
          <w:tcPr>
            <w:tcW w:type="dxa" w:w="3600"/>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System</w:t>
            </w:r>
          </w:p>
        </w:tc>
        <w:tc>
          <w:tcPr>
            <w:tcW w:type="dxa" w:w="7200"/>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How It’s Supported</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SAP Fiori</w:t>
            </w:r>
          </w:p>
        </w:tc>
        <w:tc>
          <w:tcPr>
            <w:tcW w:type="dxa" w:w="720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Playwright captures from SAP training client or IDES</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Appian</w:t>
            </w:r>
          </w:p>
        </w:tc>
        <w:tc>
          <w:tcPr>
            <w:tcW w:type="dxa" w:w="720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Playwright captures from Appian dev / staging environment</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ServiceNow</w:t>
            </w:r>
          </w:p>
        </w:tc>
        <w:tc>
          <w:tcPr>
            <w:tcW w:type="dxa" w:w="720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Playwright captures from ServiceNow developer instance (free)</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OutSystems / Mendix</w:t>
            </w:r>
          </w:p>
        </w:tc>
        <w:tc>
          <w:tcPr>
            <w:tcW w:type="dxa" w:w="720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Playwright captures from any deployed environment</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ERPNext (open source)</w:t>
            </w:r>
          </w:p>
        </w:tc>
        <w:tc>
          <w:tcPr>
            <w:tcW w:type="dxa" w:w="720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Playwright captures from self-hosted Docker instance — zero license cost</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Custom web portals</w:t>
            </w:r>
          </w:p>
        </w:tc>
        <w:tc>
          <w:tcPr>
            <w:tcW w:type="dxa" w:w="720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Playwright captures from any authenticated URL</w:t>
            </w:r>
          </w:p>
        </w:tc>
      </w:tr>
    </w:tbl>
    <w:p>
      <w:pPr>
        <w:spacing w:after="120"/>
      </w:pPr>
    </w:p>
    <w:p>
      <w:pPr>
        <w:pStyle w:val="Heading2"/>
      </w:pPr>
      <w:r>
        <w:rPr>
          <w:rFonts w:ascii="Arial" w:hAnsi="Arial"/>
          <w:b/>
          <w:color w:val="1A3A5C"/>
          <w:sz w:val="24"/>
        </w:rPr>
        <w:t>The Low-Code Layer</w:t>
      </w:r>
    </w:p>
    <w:p>
      <w:pPr>
        <w:spacing w:after="120"/>
      </w:pPr>
      <w:r>
        <w:rPr>
          <w:rFonts w:ascii="Arial" w:hAnsi="Arial"/>
          <w:sz w:val="21"/>
        </w:rPr>
        <w:t>Many SAP deployments present a Low Code front-end (Appian, ServiceNow, OutSystems) to warehouse clerks. The clerk interacts with the Low Code form; that form submits to SAP via API. Training built for SAP Fiori trains the wrong interface for these users. With the capture pipeline, the recorder points at the Appian form — not the SAP screen behind it — and captures exactly what the learner sees on the floor. No additional authoring effort is required.</w:t>
      </w:r>
    </w:p>
    <w:p>
      <w:pPr>
        <w:pStyle w:val="Heading2"/>
      </w:pPr>
      <w:r>
        <w:rPr>
          <w:rFonts w:ascii="Arial" w:hAnsi="Arial"/>
          <w:b/>
          <w:color w:val="1A3A5C"/>
          <w:sz w:val="24"/>
        </w:rPr>
        <w:t>ERPNext as Zero-Cost Development Target</w:t>
      </w:r>
    </w:p>
    <w:p>
      <w:pPr>
        <w:spacing w:after="120"/>
      </w:pPr>
      <w:r>
        <w:rPr>
          <w:rFonts w:ascii="Arial" w:hAnsi="Arial"/>
          <w:sz w:val="21"/>
        </w:rPr>
        <w:t>For PoC extension and demonstration without access to a SAP training client, ERPNext (open source, deployable in Docker in under 5 minutes) provides a functionally equivalent target. Its Purchase Receipt workflow maps directly to SAP MIGO Goods Receipt — same fields, same batch/serial/storage logic. Screenshots from a live ERPNext instance are indistinguishable in training fidelity from SAP Fiori screenshots, at zero licensing cost.</w:t>
      </w:r>
    </w:p>
    <w:tbl>
      <w:tblPr>
        <w:tblW w:type="auto" w:w="0"/>
        <w:jc w:val="left"/>
        <w:tblLook w:firstColumn="1" w:firstRow="1" w:lastColumn="0" w:lastRow="0" w:noHBand="0" w:noVBand="1" w:val="04A0"/>
        <w:tblW w:w="12239" w:type="dxa"/>
      </w:tblPr>
      <w:tblGrid>
        <w:gridCol w:w="3120"/>
        <w:gridCol w:w="3120"/>
        <w:gridCol w:w="3120"/>
      </w:tblGrid>
      <w:tr>
        <w:tc>
          <w:tcPr>
            <w:tcW w:type="dxa" w:w="3312"/>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Dimension</w:t>
            </w:r>
          </w:p>
        </w:tc>
        <w:tc>
          <w:tcPr>
            <w:tcW w:type="dxa" w:w="4464"/>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PoC — Drawn (Pillow)</w:t>
            </w:r>
          </w:p>
        </w:tc>
        <w:tc>
          <w:tcPr>
            <w:tcW w:type="dxa" w:w="4464"/>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Production — Captured (Playwright)</w:t>
            </w:r>
          </w:p>
        </w:tc>
      </w:tr>
      <w:tr>
        <w:tc>
          <w:tcPr>
            <w:tcW w:type="dxa" w:w="33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Fidelity</w:t>
            </w:r>
          </w:p>
        </w:tc>
        <w:tc>
          <w:tcPr>
            <w:tcW w:type="dxa" w:w="4464"/>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Approximate (drawn approximation)</w:t>
            </w:r>
          </w:p>
        </w:tc>
        <w:tc>
          <w:tcPr>
            <w:tcW w:type="dxa" w:w="4464"/>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Exact (real system screenshots)</w:t>
            </w:r>
          </w:p>
        </w:tc>
      </w:tr>
      <w:tr>
        <w:tc>
          <w:tcPr>
            <w:tcW w:type="dxa" w:w="3312"/>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Build time per scenario</w:t>
            </w:r>
          </w:p>
        </w:tc>
        <w:tc>
          <w:tcPr>
            <w:tcW w:type="dxa" w:w="4464"/>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2–4 hours coding</w:t>
            </w:r>
          </w:p>
        </w:tc>
        <w:tc>
          <w:tcPr>
            <w:tcW w:type="dxa" w:w="4464"/>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1–2 hours capture session</w:t>
            </w:r>
          </w:p>
        </w:tc>
      </w:tr>
      <w:tr>
        <w:tc>
          <w:tcPr>
            <w:tcW w:type="dxa" w:w="33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New system support</w:t>
            </w:r>
          </w:p>
        </w:tc>
        <w:tc>
          <w:tcPr>
            <w:tcW w:type="dxa" w:w="4464"/>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Requires new drawing code</w:t>
            </w:r>
          </w:p>
        </w:tc>
        <w:tc>
          <w:tcPr>
            <w:tcW w:type="dxa" w:w="4464"/>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No code change — point at new URL</w:t>
            </w:r>
          </w:p>
        </w:tc>
      </w:tr>
      <w:tr>
        <w:tc>
          <w:tcPr>
            <w:tcW w:type="dxa" w:w="3312"/>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Low Code front-end support</w:t>
            </w:r>
          </w:p>
        </w:tc>
        <w:tc>
          <w:tcPr>
            <w:tcW w:type="dxa" w:w="4464"/>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Not supported</w:t>
            </w:r>
          </w:p>
        </w:tc>
        <w:tc>
          <w:tcPr>
            <w:tcW w:type="dxa" w:w="4464"/>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Natively supported</w:t>
            </w:r>
          </w:p>
        </w:tc>
      </w:tr>
      <w:tr>
        <w:tc>
          <w:tcPr>
            <w:tcW w:type="dxa" w:w="33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Auto-update on UI change</w:t>
            </w:r>
          </w:p>
        </w:tc>
        <w:tc>
          <w:tcPr>
            <w:tcW w:type="dxa" w:w="4464"/>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Manual redraw</w:t>
            </w:r>
          </w:p>
        </w:tc>
        <w:tc>
          <w:tcPr>
            <w:tcW w:type="dxa" w:w="4464"/>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Re-run capture session</w:t>
            </w:r>
          </w:p>
        </w:tc>
      </w:tr>
    </w:tbl>
    <w:p>
      <w:pPr>
        <w:spacing w:after="120"/>
      </w:pPr>
    </w:p>
    <w:p>
      <w:pPr>
        <w:pStyle w:val="Heading1"/>
      </w:pPr>
      <w:r>
        <w:rPr>
          <w:rFonts w:ascii="Arial" w:hAnsi="Arial"/>
          <w:b/>
          <w:color w:val="1A3A5C"/>
          <w:sz w:val="30"/>
        </w:rPr>
        <w:t>Deployment Path</w:t>
      </w:r>
    </w:p>
    <w:p>
      <w:pPr>
        <w:spacing w:before="20" w:after="20"/>
        <w:pBdr>
          <w:bottom w:val="single" w:sz="6" w:space="1" w:color="CCCCCC"/>
        </w:pBdr>
      </w:pPr>
    </w:p>
    <w:tbl>
      <w:tblPr>
        <w:tblW w:type="auto" w:w="0"/>
        <w:jc w:val="left"/>
        <w:tblLook w:firstColumn="1" w:firstRow="1" w:lastColumn="0" w:lastRow="0" w:noHBand="0" w:noVBand="1" w:val="04A0"/>
        <w:tblW w:w="10800" w:type="dxa"/>
      </w:tblPr>
      <w:tblGrid>
        <w:gridCol w:w="2340"/>
        <w:gridCol w:w="2340"/>
        <w:gridCol w:w="2340"/>
        <w:gridCol w:w="2340"/>
      </w:tblGrid>
      <w:tr>
        <w:tc>
          <w:tcPr>
            <w:tcW w:type="dxa" w:w="720"/>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Level</w:t>
            </w:r>
          </w:p>
        </w:tc>
        <w:tc>
          <w:tcPr>
            <w:tcW w:type="dxa" w:w="4608"/>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Description</w:t>
            </w:r>
          </w:p>
        </w:tc>
        <w:tc>
          <w:tcPr>
            <w:tcW w:type="dxa" w:w="1872"/>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Effort</w:t>
            </w:r>
          </w:p>
        </w:tc>
        <w:tc>
          <w:tcPr>
            <w:tcW w:type="dxa" w:w="3600"/>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Infrastructure</w:t>
            </w:r>
          </w:p>
        </w:tc>
      </w:tr>
      <w:tr>
        <w:tc>
          <w:tcPr>
            <w:tcW w:type="dxa" w:w="72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1</w:t>
            </w:r>
          </w:p>
        </w:tc>
        <w:tc>
          <w:tcPr>
            <w:tcW w:type="dxa" w:w="460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CDN-hosted static files + localStorage progress</w:t>
            </w:r>
          </w:p>
        </w:tc>
        <w:tc>
          <w:tcPr>
            <w:tcW w:type="dxa" w:w="187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Days</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Cloudflare Pages / S3 — ~$0/mo</w:t>
            </w:r>
          </w:p>
        </w:tc>
      </w:tr>
      <w:tr>
        <w:tc>
          <w:tcPr>
            <w:tcW w:type="dxa" w:w="72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2</w:t>
            </w:r>
          </w:p>
        </w:tc>
        <w:tc>
          <w:tcPr>
            <w:tcW w:type="dxa" w:w="4608"/>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Lightweight backend: progress sync, leaderboard, admin view</w:t>
            </w:r>
          </w:p>
        </w:tc>
        <w:tc>
          <w:tcPr>
            <w:tcW w:type="dxa" w:w="1872"/>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1–2 weeks</w:t>
            </w:r>
          </w:p>
        </w:tc>
        <w:tc>
          <w:tcPr>
            <w:tcW w:type="dxa" w:w="360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$20–40/mo (Render / Railway)</w:t>
            </w:r>
          </w:p>
        </w:tc>
      </w:tr>
      <w:tr>
        <w:tc>
          <w:tcPr>
            <w:tcW w:type="dxa" w:w="72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3</w:t>
            </w:r>
          </w:p>
        </w:tc>
        <w:tc>
          <w:tcPr>
            <w:tcW w:type="dxa" w:w="460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SCORM/xAPI wrapper — drop-in for any LMS</w:t>
            </w:r>
          </w:p>
        </w:tc>
        <w:tc>
          <w:tcPr>
            <w:tcW w:type="dxa" w:w="187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1–2 weeks</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Existing LMS infrastructure</w:t>
            </w:r>
          </w:p>
        </w:tc>
      </w:tr>
      <w:tr>
        <w:tc>
          <w:tcPr>
            <w:tcW w:type="dxa" w:w="72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4</w:t>
            </w:r>
          </w:p>
        </w:tc>
        <w:tc>
          <w:tcPr>
            <w:tcW w:type="dxa" w:w="4608"/>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Containerized Docker sandbox (ERPNext or real system per session)</w:t>
            </w:r>
          </w:p>
        </w:tc>
        <w:tc>
          <w:tcPr>
            <w:tcW w:type="dxa" w:w="1872"/>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4–6 weeks</w:t>
            </w:r>
          </w:p>
        </w:tc>
        <w:tc>
          <w:tcPr>
            <w:tcW w:type="dxa" w:w="360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$40–80/mo server</w:t>
            </w:r>
          </w:p>
        </w:tc>
      </w:tr>
      <w:tr>
        <w:tc>
          <w:tcPr>
            <w:tcW w:type="dxa" w:w="72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5</w:t>
            </w:r>
          </w:p>
        </w:tc>
        <w:tc>
          <w:tcPr>
            <w:tcW w:type="dxa" w:w="460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Full capture pipeline — Playwright recorder for any web system</w:t>
            </w:r>
          </w:p>
        </w:tc>
        <w:tc>
          <w:tcPr>
            <w:tcW w:type="dxa" w:w="187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4–8 weeks</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Access to sandbox / dev environment</w:t>
            </w:r>
          </w:p>
        </w:tc>
      </w:tr>
    </w:tbl>
    <w:p>
      <w:pPr>
        <w:spacing w:after="120"/>
      </w:pPr>
    </w:p>
    <w:p>
      <w:pPr>
        <w:pStyle w:val="Heading1"/>
      </w:pPr>
      <w:r>
        <w:rPr>
          <w:rFonts w:ascii="Arial" w:hAnsi="Arial"/>
          <w:b/>
          <w:color w:val="1A3A5C"/>
          <w:sz w:val="30"/>
        </w:rPr>
        <w:t>Target Use Cases</w:t>
      </w:r>
    </w:p>
    <w:p>
      <w:pPr>
        <w:spacing w:before="20" w:after="20"/>
        <w:pBdr>
          <w:bottom w:val="single" w:sz="6" w:space="1" w:color="CCCCCC"/>
        </w:pBdr>
      </w:pPr>
    </w:p>
    <w:p>
      <w:pPr>
        <w:pStyle w:val="Heading2"/>
      </w:pPr>
      <w:r>
        <w:rPr>
          <w:rFonts w:ascii="Arial" w:hAnsi="Arial"/>
          <w:b/>
          <w:color w:val="1A3A5C"/>
          <w:sz w:val="24"/>
        </w:rPr>
        <w:t>Commercial Warehouse Operations</w:t>
      </w:r>
    </w:p>
    <w:p>
      <w:pPr>
        <w:spacing w:after="120"/>
      </w:pPr>
      <w:r>
        <w:rPr>
          <w:rFonts w:ascii="Arial" w:hAnsi="Arial"/>
          <w:sz w:val="21"/>
        </w:rPr>
        <w:t>High-turnover distribution centers with ERP-based receiving operations represent the primary commercial target. The capture pipeline means the trainer deploys to customers running SAP, Appian, Oracle, ERPNext, or any other web-based system without re-authoring the game engine. The five handling profiles cover the majority of goods receipt scenarios across retail, pharmaceutical, and industrial distribution.</w:t>
      </w:r>
    </w:p>
    <w:p>
      <w:pPr>
        <w:pStyle w:val="Heading2"/>
      </w:pPr>
      <w:r>
        <w:rPr>
          <w:rFonts w:ascii="Arial" w:hAnsi="Arial"/>
          <w:b/>
          <w:color w:val="1A3A5C"/>
          <w:sz w:val="24"/>
        </w:rPr>
        <w:t>Anniston Army Depot — Defense Logistics</w:t>
      </w:r>
    </w:p>
    <w:p>
      <w:pPr>
        <w:spacing w:after="120"/>
      </w:pPr>
      <w:r>
        <w:rPr>
          <w:rFonts w:ascii="Arial" w:hAnsi="Arial"/>
          <w:sz w:val="21"/>
        </w:rPr>
        <w:t>Anniston Army Depot (Anniston, AL) manages all nine Army Classes of Supply using SAP-based systems (GCSS-Army). High clerk turnover, regulatory pressure (Army audit standards, OSHA, DOT), and a target demographic (18–25, mobile-first) make it an ideal early adopter. The five handling profiles map directly to Army supply classes, and government procurement vehicles exist that can fund training tools outside a traditional sales cycle.</w:t>
      </w:r>
    </w:p>
    <w:p>
      <w:pPr>
        <w:pStyle w:val="Heading1"/>
      </w:pPr>
      <w:r>
        <w:rPr>
          <w:rFonts w:ascii="Arial" w:hAnsi="Arial"/>
          <w:b/>
          <w:color w:val="1A3A5C"/>
          <w:sz w:val="30"/>
        </w:rPr>
        <w:t>Competitive Landscape</w:t>
      </w:r>
    </w:p>
    <w:p>
      <w:pPr>
        <w:spacing w:before="20" w:after="20"/>
        <w:pBdr>
          <w:bottom w:val="single" w:sz="6" w:space="1" w:color="CCCCCC"/>
        </w:pBdr>
      </w:pPr>
    </w:p>
    <w:tbl>
      <w:tblPr>
        <w:tblW w:type="auto" w:w="0"/>
        <w:jc w:val="left"/>
        <w:tblLook w:firstColumn="1" w:firstRow="1" w:lastColumn="0" w:lastRow="0" w:noHBand="0" w:noVBand="1" w:val="04A0"/>
        <w:tblW w:w="10800" w:type="dxa"/>
      </w:tblPr>
      <w:tblGrid>
        <w:gridCol w:w="3120"/>
        <w:gridCol w:w="3120"/>
        <w:gridCol w:w="3120"/>
      </w:tblGrid>
      <w:tr>
        <w:tc>
          <w:tcPr>
            <w:tcW w:type="dxa" w:w="2592"/>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Product</w:t>
            </w:r>
          </w:p>
        </w:tc>
        <w:tc>
          <w:tcPr>
            <w:tcW w:type="dxa" w:w="4320"/>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Approach</w:t>
            </w:r>
          </w:p>
        </w:tc>
        <w:tc>
          <w:tcPr>
            <w:tcW w:type="dxa" w:w="3888"/>
            <w:tcBorders>
              <w:top w:val="single" w:sz="4" w:space="0" w:color="CCCCCC"/>
              <w:left w:val="single" w:sz="4" w:space="0" w:color="CCCCCC"/>
              <w:bottom w:val="single" w:sz="4" w:space="0" w:color="CCCCCC"/>
              <w:right w:val="single" w:sz="4" w:space="0" w:color="CCCCCC"/>
            </w:tcBorders>
            <w:shd w:val="clear" w:color="auto" w:fill="1A3A5C"/>
          </w:tcPr>
          <w:p>
            <w:pPr>
              <w:spacing w:before="60" w:after="60"/>
            </w:pPr>
            <w:r>
              <w:rPr>
                <w:rFonts w:ascii="Arial" w:hAnsi="Arial"/>
                <w:b/>
                <w:color w:val="FFFFFF"/>
                <w:sz w:val="19"/>
              </w:rPr>
              <w:t>Gap vs. Zero-Touch</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SAP Enable Now</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Records UI sessions, generates guided tours</w:t>
            </w:r>
          </w:p>
        </w:tc>
        <w:tc>
          <w:tcPr>
            <w:tcW w:type="dxa" w:w="388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No game mechanics. No narrative. No Low Code support.</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b/>
                <w:sz w:val="19"/>
              </w:rPr>
              <w:t>WalkMe / Whatfix</w:t>
            </w:r>
          </w:p>
        </w:tc>
        <w:tc>
          <w:tcPr>
            <w:tcW w:type="dxa" w:w="4320"/>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Real-time overlay on the live application</w:t>
            </w:r>
          </w:p>
        </w:tc>
        <w:tc>
          <w:tcPr>
            <w:tcW w:type="dxa" w:w="3888"/>
            <w:tcBorders>
              <w:top w:val="single" w:sz="4" w:space="0" w:color="CCCCCC"/>
              <w:left w:val="single" w:sz="4" w:space="0" w:color="CCCCCC"/>
              <w:bottom w:val="single" w:sz="4" w:space="0" w:color="CCCCCC"/>
              <w:right w:val="single" w:sz="4" w:space="0" w:color="CCCCCC"/>
            </w:tcBorders>
            <w:shd w:val="clear" w:color="auto" w:fill="F5F8FC"/>
          </w:tcPr>
          <w:p>
            <w:pPr>
              <w:spacing w:before="60" w:after="60"/>
            </w:pPr>
            <w:r>
              <w:rPr>
                <w:rFonts w:ascii="Arial" w:hAnsi="Arial"/>
                <w:sz w:val="19"/>
              </w:rPr>
              <w:t>Builds dependency, not competency. Fails when UI changes.</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19"/>
              </w:rPr>
              <w:t>UKG Pro Learning</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Game-based (manually authored for one SaaS product)</w:t>
            </w:r>
          </w:p>
        </w:tc>
        <w:tc>
          <w:tcPr>
            <w:tcW w:type="dxa" w:w="388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19"/>
              </w:rPr>
              <w:t>Proves the model works (+67% completion). Can’t auto-generate or cover ERP.</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5F8FC"/>
            <w:shd w:val="clear" w:color="auto" w:fill="EBF3FB"/>
          </w:tcPr>
          <w:p>
            <w:pPr>
              <w:spacing w:before="60" w:after="60"/>
            </w:pPr>
            <w:r>
              <w:rPr>
                <w:rFonts w:ascii="Arial" w:hAnsi="Arial"/>
                <w:b/>
                <w:color w:val="1A3A5C"/>
                <w:sz w:val="19"/>
              </w:rPr>
              <w:t>Zero-Touch Training</w:t>
            </w:r>
          </w:p>
        </w:tc>
        <w:tc>
          <w:tcPr>
            <w:tcW w:type="dxa" w:w="4320"/>
            <w:tcBorders>
              <w:top w:val="single" w:sz="4" w:space="0" w:color="CCCCCC"/>
              <w:left w:val="single" w:sz="4" w:space="0" w:color="CCCCCC"/>
              <w:bottom w:val="single" w:sz="4" w:space="0" w:color="CCCCCC"/>
              <w:right w:val="single" w:sz="4" w:space="0" w:color="CCCCCC"/>
            </w:tcBorders>
            <w:shd w:val="clear" w:color="auto" w:fill="F5F8FC"/>
            <w:shd w:val="clear" w:color="auto" w:fill="EBF3FB"/>
          </w:tcPr>
          <w:p>
            <w:pPr>
              <w:spacing w:before="60" w:after="60"/>
            </w:pPr>
            <w:r>
              <w:rPr>
                <w:rFonts w:ascii="Arial" w:hAnsi="Arial"/>
                <w:b/>
                <w:color w:val="1A3A5C"/>
                <w:sz w:val="19"/>
              </w:rPr>
              <w:t>AI-generated, game-based, system-agnostic capture</w:t>
            </w:r>
          </w:p>
        </w:tc>
        <w:tc>
          <w:tcPr>
            <w:tcW w:type="dxa" w:w="3888"/>
            <w:tcBorders>
              <w:top w:val="single" w:sz="4" w:space="0" w:color="CCCCCC"/>
              <w:left w:val="single" w:sz="4" w:space="0" w:color="CCCCCC"/>
              <w:bottom w:val="single" w:sz="4" w:space="0" w:color="CCCCCC"/>
              <w:right w:val="single" w:sz="4" w:space="0" w:color="CCCCCC"/>
            </w:tcBorders>
            <w:shd w:val="clear" w:color="auto" w:fill="F5F8FC"/>
            <w:shd w:val="clear" w:color="auto" w:fill="EBF3FB"/>
          </w:tcPr>
          <w:p>
            <w:pPr>
              <w:spacing w:before="60" w:after="60"/>
            </w:pPr>
            <w:r>
              <w:rPr>
                <w:rFonts w:ascii="Arial" w:hAnsi="Arial"/>
                <w:b/>
                <w:color w:val="1A3A5C"/>
                <w:sz w:val="19"/>
              </w:rPr>
              <w:t>No competitor combines all three at an accessible price point.</w:t>
            </w:r>
          </w:p>
        </w:tc>
      </w:tr>
    </w:tbl>
    <w:p>
      <w:pPr>
        <w:spacing w:after="120"/>
      </w:pPr>
    </w:p>
    <w:p>
      <w:pPr>
        <w:spacing w:after="80"/>
      </w:pPr>
    </w:p>
    <w:p>
      <w:pPr>
        <w:pStyle w:val="Heading1"/>
      </w:pPr>
      <w:r>
        <w:rPr>
          <w:rFonts w:ascii="Arial" w:hAnsi="Arial"/>
          <w:b/>
          <w:color w:val="1A3A5C"/>
          <w:sz w:val="30"/>
        </w:rPr>
        <w:t>Next Steps</w:t>
      </w:r>
    </w:p>
    <w:p>
      <w:pPr>
        <w:spacing w:before="20" w:after="20"/>
        <w:pBdr>
          <w:bottom w:val="single" w:sz="6" w:space="1" w:color="CCCCCC"/>
        </w:pBdr>
      </w:pPr>
    </w:p>
    <w:p>
      <w:pPr>
        <w:pStyle w:val="ListBullet"/>
        <w:spacing w:after="60"/>
      </w:pPr>
      <w:r>
        <w:rPr>
          <w:rFonts w:ascii="Arial" w:hAnsi="Arial"/>
          <w:b/>
          <w:sz w:val="21"/>
        </w:rPr>
        <w:t xml:space="preserve">Playwright capture pipeline: </w:t>
      </w:r>
      <w:r>
        <w:rPr>
          <w:rFonts w:ascii="Arial" w:hAnsi="Arial"/>
          <w:sz w:val="21"/>
        </w:rPr>
        <w:t>Build the Playwright recorder targeting ERPNext as the first real-system capture target. Replaces drawn screenshots with real UI fidelity. Proves system-agnostic architecture with a free, accessible system.</w:t>
      </w:r>
    </w:p>
    <w:p>
      <w:pPr>
        <w:pStyle w:val="ListBullet"/>
        <w:spacing w:after="60"/>
      </w:pPr>
      <w:r>
        <w:rPr>
          <w:rFonts w:ascii="Arial" w:hAnsi="Arial"/>
          <w:b/>
          <w:sz w:val="21"/>
        </w:rPr>
        <w:t xml:space="preserve">Car maintenance trainer (Hardware): </w:t>
      </w:r>
      <w:r>
        <w:rPr>
          <w:rFonts w:ascii="Arial" w:hAnsi="Arial"/>
          <w:sz w:val="21"/>
        </w:rPr>
        <w:t>Build Ford F-150 maintenance scenarios (oil change, brake pads, air filter, serpentine belt) using the Chilton manual as source. Extends hardware training with photographic real-world content.</w:t>
      </w:r>
    </w:p>
    <w:p>
      <w:pPr>
        <w:pStyle w:val="ListBullet"/>
        <w:spacing w:after="60"/>
      </w:pPr>
      <w:r>
        <w:rPr>
          <w:rFonts w:ascii="Arial" w:hAnsi="Arial"/>
          <w:b/>
          <w:sz w:val="21"/>
        </w:rPr>
        <w:t xml:space="preserve">Progress tracking backend: </w:t>
      </w:r>
      <w:r>
        <w:rPr>
          <w:rFonts w:ascii="Arial" w:hAnsi="Arial"/>
          <w:sz w:val="21"/>
        </w:rPr>
        <w:t>Lightweight API (FastAPI or Express) for cross-device progress persistence, leaderboard, and admin completion reporting. Unlocks the gamification story for multi-user pilots.</w:t>
      </w:r>
    </w:p>
    <w:p>
      <w:pPr>
        <w:pStyle w:val="ListBullet"/>
        <w:spacing w:after="60"/>
      </w:pPr>
      <w:r>
        <w:rPr>
          <w:rFonts w:ascii="Arial" w:hAnsi="Arial"/>
          <w:b/>
          <w:sz w:val="21"/>
        </w:rPr>
        <w:t xml:space="preserve">SCORM/xAPI wrapper: </w:t>
      </w:r>
      <w:r>
        <w:rPr>
          <w:rFonts w:ascii="Arial" w:hAnsi="Arial"/>
          <w:sz w:val="21"/>
        </w:rPr>
        <w:t>Package each scenario as a SCORM 1.2 or xAPI module for drop-in LMS compatibility. Enables enterprise deployment without building auth or user management infrastructure.</w:t>
      </w:r>
    </w:p>
    <w:p>
      <w:pPr>
        <w:pStyle w:val="ListBullet"/>
        <w:spacing w:after="60"/>
      </w:pPr>
      <w:r>
        <w:rPr>
          <w:rFonts w:ascii="Arial" w:hAnsi="Arial"/>
          <w:b/>
          <w:sz w:val="21"/>
        </w:rPr>
        <w:t xml:space="preserve">Low Code capture demo: </w:t>
      </w:r>
      <w:r>
        <w:rPr>
          <w:rFonts w:ascii="Arial" w:hAnsi="Arial"/>
          <w:sz w:val="21"/>
        </w:rPr>
        <w:t>Extend the Playwright recorder to capture an Appian or ServiceNow workflow alongside the ERPNext scenario. Demonstrates side-by-side that the same game engine serves both ERP and Low Code front-ends.</w:t>
      </w:r>
    </w:p>
    <w:p>
      <w:pPr>
        <w:pStyle w:val="ListBullet"/>
        <w:spacing w:after="60"/>
      </w:pPr>
      <w:r>
        <w:rPr>
          <w:rFonts w:ascii="Arial" w:hAnsi="Arial"/>
          <w:b/>
          <w:sz w:val="21"/>
        </w:rPr>
        <w:t xml:space="preserve">Pilot deployment: </w:t>
      </w:r>
      <w:r>
        <w:rPr>
          <w:rFonts w:ascii="Arial" w:hAnsi="Arial"/>
          <w:sz w:val="21"/>
        </w:rPr>
        <w:t>Deploy to a real receiving dock with 5–10 new hires. Measure completion rates, time-to-competency, and post-training error rates vs. the current training baseline.</w:t>
      </w:r>
    </w:p>
    <w:p>
      <w:pPr>
        <w:spacing w:after="160"/>
      </w:pPr>
    </w:p>
    <w:p>
      <w:pPr>
        <w:spacing w:before="20" w:after="20"/>
        <w:pBdr>
          <w:bottom w:val="single" w:sz="6" w:space="1" w:color="CCCCCC"/>
        </w:pBdr>
      </w:pPr>
    </w:p>
    <w:p>
      <w:pPr>
        <w:jc w:val="center"/>
      </w:pPr>
      <w:r>
        <w:rPr>
          <w:rFonts w:ascii="Arial" w:hAnsi="Arial"/>
          <w:color w:val="999999"/>
          <w:sz w:val="17"/>
        </w:rPr>
        <w:t>Zero-Touch Training — Proof of Concept  ·  March 2026  ·  Confidential</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