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zero-touch-ai-generated-erp-training"/>
      <w:r>
        <w:t xml:space="preserve">Zero-Touch, AI-Generated ERP Training</w:t>
      </w:r>
      <w:bookmarkEnd w:id="20"/>
    </w:p>
    <w:p>
      <w:pPr>
        <w:pStyle w:val="Heading2"/>
      </w:pPr>
      <w:bookmarkStart w:id="21" w:name="the-problem-were-solving"/>
      <w:r>
        <w:t xml:space="preserve">The Problem We’re Solving</w:t>
      </w:r>
      <w:bookmarkEnd w:id="21"/>
    </w:p>
    <w:p>
      <w:pPr>
        <w:pStyle w:val="FirstParagraph"/>
      </w:pPr>
      <w:r>
        <w:t xml:space="preserve">ERP training today is expensive to create, slow to update, quickly outdated, and detached from how the system actually changes.</w:t>
      </w:r>
    </w:p>
    <w:p>
      <w:pPr>
        <w:pStyle w:val="BodyText"/>
      </w:pPr>
      <w:r>
        <w:t xml:space="preserve">This is amplified by:</w:t>
      </w:r>
    </w:p>
    <w:p>
      <w:pPr>
        <w:numPr>
          <w:ilvl w:val="0"/>
          <w:numId w:val="1001"/>
        </w:numPr>
        <w:pStyle w:val="Compact"/>
      </w:pPr>
      <w:r>
        <w:t xml:space="preserve">Site-specific processes</w:t>
      </w:r>
    </w:p>
    <w:p>
      <w:pPr>
        <w:numPr>
          <w:ilvl w:val="0"/>
          <w:numId w:val="1001"/>
        </w:numPr>
        <w:pStyle w:val="Compact"/>
      </w:pPr>
      <w:r>
        <w:t xml:space="preserve">Multiple UI layers (SAP Fiori, Appian Low Code, etc.)</w:t>
      </w:r>
    </w:p>
    <w:p>
      <w:pPr>
        <w:numPr>
          <w:ilvl w:val="0"/>
          <w:numId w:val="1001"/>
        </w:numPr>
        <w:pStyle w:val="Compact"/>
      </w:pPr>
      <w:r>
        <w:t xml:space="preserve">High personnel turnover and mixed experience levels</w:t>
      </w:r>
    </w:p>
    <w:p>
      <w:pPr>
        <w:pStyle w:val="Heading2"/>
      </w:pPr>
      <w:bookmarkStart w:id="22" w:name="the-core-idea"/>
      <w:r>
        <w:t xml:space="preserve">The Core Idea</w:t>
      </w:r>
      <w:bookmarkEnd w:id="22"/>
    </w:p>
    <w:p>
      <w:pPr>
        <w:pStyle w:val="FirstParagraph"/>
      </w:pPr>
      <w:r>
        <w:t xml:space="preserve">Training should be generated from the same assets that keep the system running.</w:t>
      </w:r>
    </w:p>
    <w:p>
      <w:pPr>
        <w:pStyle w:val="BodyText"/>
      </w:pPr>
      <w:r>
        <w:t xml:space="preserve">Instead of manually authoring courses and job aids:</w:t>
      </w:r>
    </w:p>
    <w:p>
      <w:pPr>
        <w:numPr>
          <w:ilvl w:val="0"/>
          <w:numId w:val="1002"/>
        </w:numPr>
        <w:pStyle w:val="Compact"/>
      </w:pPr>
      <w:r>
        <w:t xml:space="preserve">Use automated test scripts, process models, and configuration data as the source of truth</w:t>
      </w:r>
    </w:p>
    <w:p>
      <w:pPr>
        <w:numPr>
          <w:ilvl w:val="0"/>
          <w:numId w:val="1002"/>
        </w:numPr>
        <w:pStyle w:val="Compact"/>
      </w:pPr>
      <w:r>
        <w:t xml:space="preserve">Apply AI to compile those assets into training materials</w:t>
      </w:r>
    </w:p>
    <w:p>
      <w:pPr>
        <w:numPr>
          <w:ilvl w:val="0"/>
          <w:numId w:val="1002"/>
        </w:numPr>
        <w:pStyle w:val="Compact"/>
      </w:pPr>
      <w:r>
        <w:t xml:space="preserve">Automatically update training whenever the system changes</w:t>
      </w:r>
    </w:p>
    <w:p>
      <w:pPr>
        <w:pStyle w:val="FirstParagraph"/>
      </w:pPr>
      <w:r>
        <w:t xml:space="preserve">This is </w:t>
      </w:r>
      <w:r>
        <w:rPr>
          <w:b/>
        </w:rPr>
        <w:t xml:space="preserve">Training-as-Code</w:t>
      </w:r>
      <w:r>
        <w:t xml:space="preserve">, embedded in the DevSecOps pipeline.</w:t>
      </w:r>
    </w:p>
    <w:p>
      <w:pPr>
        <w:pStyle w:val="Heading2"/>
      </w:pPr>
      <w:bookmarkStart w:id="23" w:name="how-the-training-works-layered-model"/>
      <w:r>
        <w:t xml:space="preserve">How the Training Works (Layered Model)</w:t>
      </w:r>
      <w:bookmarkEnd w:id="23"/>
    </w:p>
    <w:p>
      <w:pPr>
        <w:pStyle w:val="Heading3"/>
      </w:pPr>
      <w:bookmarkStart w:id="24" w:name="layer-1-erp-orientation-navigation"/>
      <w:r>
        <w:t xml:space="preserve">Layer 1 – ERP Orientation &amp; Navigation</w:t>
      </w:r>
      <w:bookmarkEnd w:id="24"/>
    </w:p>
    <w:p>
      <w:pPr>
        <w:pStyle w:val="FirstParagraph"/>
      </w:pPr>
      <w:r>
        <w:rPr>
          <w:b/>
        </w:rPr>
        <w:t xml:space="preserve">Goal:</w:t>
      </w:r>
      <w:r>
        <w:t xml:space="preserve"> “I’m not lost.”</w:t>
      </w:r>
    </w:p>
    <w:p>
      <w:pPr>
        <w:numPr>
          <w:ilvl w:val="0"/>
          <w:numId w:val="1003"/>
        </w:numPr>
        <w:pStyle w:val="Compact"/>
      </w:pPr>
      <w:r>
        <w:t xml:space="preserve">AI-generated navigation walkthroughs</w:t>
      </w:r>
    </w:p>
    <w:p>
      <w:pPr>
        <w:numPr>
          <w:ilvl w:val="0"/>
          <w:numId w:val="1003"/>
        </w:numPr>
        <w:pStyle w:val="Compact"/>
      </w:pPr>
      <w:r>
        <w:t xml:space="preserve">Site-specific menus and access paths</w:t>
      </w:r>
    </w:p>
    <w:p>
      <w:pPr>
        <w:numPr>
          <w:ilvl w:val="0"/>
          <w:numId w:val="1003"/>
        </w:numPr>
        <w:pStyle w:val="Compact"/>
      </w:pPr>
      <w:r>
        <w:t xml:space="preserve">Derived from UI metadata and test automation</w:t>
      </w:r>
    </w:p>
    <w:p>
      <w:pPr>
        <w:pStyle w:val="Heading3"/>
      </w:pPr>
      <w:bookmarkStart w:id="25" w:name="layer-2-end-to-end-process-understanding"/>
      <w:r>
        <w:t xml:space="preserve">Layer 2 – End-to-End Process Understanding</w:t>
      </w:r>
      <w:bookmarkEnd w:id="25"/>
    </w:p>
    <w:p>
      <w:pPr>
        <w:pStyle w:val="FirstParagraph"/>
      </w:pPr>
      <w:r>
        <w:rPr>
          <w:b/>
        </w:rPr>
        <w:t xml:space="preserve">Goal:</w:t>
      </w:r>
      <w:r>
        <w:t xml:space="preserve"> “I know where I fit.”</w:t>
      </w:r>
    </w:p>
    <w:p>
      <w:pPr>
        <w:numPr>
          <w:ilvl w:val="0"/>
          <w:numId w:val="1004"/>
        </w:numPr>
        <w:pStyle w:val="Compact"/>
      </w:pPr>
      <w:r>
        <w:t xml:space="preserve">AI-generated explainer videos showing all roles in a process, inputs/outputs between roles, and what happens before and after the learner’s task</w:t>
      </w:r>
    </w:p>
    <w:p>
      <w:pPr>
        <w:numPr>
          <w:ilvl w:val="0"/>
          <w:numId w:val="1004"/>
        </w:numPr>
        <w:pStyle w:val="Compact"/>
      </w:pPr>
      <w:r>
        <w:t xml:space="preserve">Generated with minimal post-production (Bigfoot-style AI video approach)</w:t>
      </w:r>
    </w:p>
    <w:p>
      <w:pPr>
        <w:pStyle w:val="Heading3"/>
      </w:pPr>
      <w:bookmarkStart w:id="26" w:name="layer-3-role-specific-execution"/>
      <w:r>
        <w:t xml:space="preserve">Layer 3 – Role-Specific Execution</w:t>
      </w:r>
      <w:bookmarkEnd w:id="26"/>
    </w:p>
    <w:p>
      <w:pPr>
        <w:pStyle w:val="FirstParagraph"/>
      </w:pPr>
      <w:r>
        <w:rPr>
          <w:b/>
        </w:rPr>
        <w:t xml:space="preserve">Goal:</w:t>
      </w:r>
      <w:r>
        <w:t xml:space="preserve"> “I can do my job.”</w:t>
      </w:r>
    </w:p>
    <w:p>
      <w:pPr>
        <w:numPr>
          <w:ilvl w:val="0"/>
          <w:numId w:val="1005"/>
        </w:numPr>
        <w:pStyle w:val="Compact"/>
      </w:pPr>
      <w:r>
        <w:t xml:space="preserve">Short, task-focused job aids</w:t>
      </w:r>
    </w:p>
    <w:p>
      <w:pPr>
        <w:numPr>
          <w:ilvl w:val="0"/>
          <w:numId w:val="1005"/>
        </w:numPr>
        <w:pStyle w:val="Compact"/>
      </w:pPr>
      <w:r>
        <w:t xml:space="preserve">Step-by-step execution guidance</w:t>
      </w:r>
    </w:p>
    <w:p>
      <w:pPr>
        <w:numPr>
          <w:ilvl w:val="0"/>
          <w:numId w:val="1005"/>
        </w:numPr>
        <w:pStyle w:val="Compact"/>
      </w:pPr>
      <w:r>
        <w:t xml:space="preserve">Generated directly from automated test scripts</w:t>
      </w:r>
    </w:p>
    <w:p>
      <w:pPr>
        <w:numPr>
          <w:ilvl w:val="0"/>
          <w:numId w:val="1005"/>
        </w:numPr>
        <w:pStyle w:val="Compact"/>
      </w:pPr>
      <w:r>
        <w:t xml:space="preserve">Includes site-specific (Opal) overlays where processes differ</w:t>
      </w:r>
    </w:p>
    <w:p>
      <w:pPr>
        <w:pStyle w:val="Heading3"/>
      </w:pPr>
      <w:bookmarkStart w:id="27" w:name="layer-4-in-app-assistance"/>
      <w:r>
        <w:t xml:space="preserve">Layer 4 – In-App Assistance</w:t>
      </w:r>
      <w:bookmarkEnd w:id="27"/>
    </w:p>
    <w:p>
      <w:pPr>
        <w:pStyle w:val="FirstParagraph"/>
      </w:pPr>
      <w:r>
        <w:rPr>
          <w:b/>
        </w:rPr>
        <w:t xml:space="preserve">Goal:</w:t>
      </w:r>
      <w:r>
        <w:t xml:space="preserve"> “Help me while I’m doing it.”</w:t>
      </w:r>
    </w:p>
    <w:p>
      <w:pPr>
        <w:numPr>
          <w:ilvl w:val="0"/>
          <w:numId w:val="1006"/>
        </w:numPr>
        <w:pStyle w:val="Compact"/>
      </w:pPr>
      <w:r>
        <w:t xml:space="preserve">Intelligent in-app support provides point-of-need guidance</w:t>
      </w:r>
    </w:p>
    <w:p>
      <w:pPr>
        <w:numPr>
          <w:ilvl w:val="0"/>
          <w:numId w:val="1006"/>
        </w:numPr>
        <w:pStyle w:val="Compact"/>
      </w:pPr>
      <w:r>
        <w:t xml:space="preserve">AI generates draft in-app guidance flows from test scripts and UI metadata</w:t>
      </w:r>
    </w:p>
    <w:p>
      <w:pPr>
        <w:numPr>
          <w:ilvl w:val="0"/>
          <w:numId w:val="1006"/>
        </w:numPr>
        <w:pStyle w:val="Compact"/>
      </w:pPr>
      <w:r>
        <w:t xml:space="preserve">Humans review and approve (no manual authoring from scratch)</w:t>
      </w:r>
    </w:p>
    <w:p>
      <w:pPr>
        <w:pStyle w:val="Heading3"/>
      </w:pPr>
      <w:bookmarkStart w:id="28" w:name="layer-5-process-rationale-consequence"/>
      <w:r>
        <w:t xml:space="preserve">Layer 5 – Process Rationale &amp; Consequence</w:t>
      </w:r>
      <w:bookmarkEnd w:id="28"/>
    </w:p>
    <w:p>
      <w:pPr>
        <w:pStyle w:val="FirstParagraph"/>
      </w:pPr>
      <w:r>
        <w:rPr>
          <w:b/>
        </w:rPr>
        <w:t xml:space="preserve">Goal:</w:t>
      </w:r>
      <w:r>
        <w:t xml:space="preserve"> “I understand </w:t>
      </w:r>
      <w:r>
        <w:rPr>
          <w:i/>
        </w:rPr>
        <w:t xml:space="preserve">why</w:t>
      </w:r>
      <w:r>
        <w:t xml:space="preserve"> we do it this way.”</w:t>
      </w:r>
    </w:p>
    <w:p>
      <w:pPr>
        <w:pStyle w:val="BodyText"/>
      </w:pPr>
      <w:r>
        <w:t xml:space="preserve">Training that addresses the institutional knowledge gap: people who know how to execute a process but not why it is designed that way, when to use it versus alternatives, and what breaks if they choose incorrectly.</w:t>
      </w:r>
    </w:p>
    <w:p>
      <w:pPr>
        <w:numPr>
          <w:ilvl w:val="0"/>
          <w:numId w:val="1007"/>
        </w:numPr>
        <w:pStyle w:val="Compact"/>
      </w:pPr>
      <w:r>
        <w:t xml:space="preserve">Decision maps: when to use this process vs. similar alternatives</w:t>
      </w:r>
    </w:p>
    <w:p>
      <w:pPr>
        <w:numPr>
          <w:ilvl w:val="0"/>
          <w:numId w:val="1007"/>
        </w:numPr>
        <w:pStyle w:val="Compact"/>
      </w:pPr>
      <w:r>
        <w:t xml:space="preserve">Anti-pattern gallery: common wrong approaches with empathetic explanation of why they feel right and what actually breaks downstream</w:t>
      </w:r>
    </w:p>
    <w:p>
      <w:pPr>
        <w:numPr>
          <w:ilvl w:val="0"/>
          <w:numId w:val="1007"/>
        </w:numPr>
        <w:pStyle w:val="Compact"/>
      </w:pPr>
      <w:r>
        <w:t xml:space="preserve">Consequence matrix: who notices, when, and what the audit or operational impact is</w:t>
      </w:r>
    </w:p>
    <w:p>
      <w:pPr>
        <w:numPr>
          <w:ilvl w:val="0"/>
          <w:numId w:val="1007"/>
        </w:numPr>
        <w:pStyle w:val="Compact"/>
      </w:pPr>
      <w:r>
        <w:t xml:space="preserve">Compliance context: the business control the process enforces and what an auditor looks for in the transaction record</w:t>
      </w:r>
    </w:p>
    <w:p>
      <w:pPr>
        <w:pStyle w:val="FirstParagraph"/>
      </w:pPr>
      <w:r>
        <w:t xml:space="preserve">Sourced from: BPMN decision gateways, Tosca negative test cases, Opal overlay validation rules, and a </w:t>
      </w:r>
      <w:r>
        <w:rPr>
          <w:rStyle w:val="VerbatimChar"/>
        </w:rPr>
        <w:t xml:space="preserve">consequences.yaml</w:t>
      </w:r>
      <w:r>
        <w:t xml:space="preserve"> data file maintained by the SME team. SME review and Finance/Compliance sign-off required before publication.</w:t>
      </w:r>
    </w:p>
    <w:p>
      <w:pPr>
        <w:pStyle w:val="Heading3"/>
      </w:pPr>
      <w:bookmarkStart w:id="29" w:name="layer-6-continuous-update-drift-control"/>
      <w:r>
        <w:t xml:space="preserve">Layer 6 – Continuous Update &amp; Drift Control</w:t>
      </w:r>
      <w:bookmarkEnd w:id="29"/>
    </w:p>
    <w:p>
      <w:pPr>
        <w:pStyle w:val="FirstParagraph"/>
      </w:pPr>
      <w:r>
        <w:rPr>
          <w:b/>
        </w:rPr>
        <w:t xml:space="preserve">Goal:</w:t>
      </w:r>
      <w:r>
        <w:t xml:space="preserve"> “Training is never outdated.”</w:t>
      </w:r>
    </w:p>
    <w:p>
      <w:pPr>
        <w:pStyle w:val="BodyText"/>
      </w:pPr>
      <w:r>
        <w:t xml:space="preserve">Training updates are triggered automatically by:</w:t>
      </w:r>
    </w:p>
    <w:p>
      <w:pPr>
        <w:numPr>
          <w:ilvl w:val="0"/>
          <w:numId w:val="1008"/>
        </w:numPr>
        <w:pStyle w:val="Compact"/>
      </w:pPr>
      <w:r>
        <w:t xml:space="preserve">Configuration changes</w:t>
      </w:r>
    </w:p>
    <w:p>
      <w:pPr>
        <w:numPr>
          <w:ilvl w:val="0"/>
          <w:numId w:val="1008"/>
        </w:numPr>
        <w:pStyle w:val="Compact"/>
      </w:pPr>
      <w:r>
        <w:t xml:space="preserve">UI changes</w:t>
      </w:r>
    </w:p>
    <w:p>
      <w:pPr>
        <w:numPr>
          <w:ilvl w:val="0"/>
          <w:numId w:val="1008"/>
        </w:numPr>
        <w:pStyle w:val="Compact"/>
      </w:pPr>
      <w:r>
        <w:t xml:space="preserve">Regression test updates or failures</w:t>
      </w:r>
    </w:p>
    <w:p>
      <w:pPr>
        <w:numPr>
          <w:ilvl w:val="0"/>
          <w:numId w:val="1008"/>
        </w:numPr>
        <w:pStyle w:val="Compact"/>
      </w:pPr>
      <w:r>
        <w:t xml:space="preserve">Process model version changes</w:t>
      </w:r>
    </w:p>
    <w:p>
      <w:pPr>
        <w:pStyle w:val="FirstParagraph"/>
      </w:pPr>
      <w:r>
        <w:t xml:space="preserve">If a regression test changes, training is assumed stale until regenerated and SME-validated.</w:t>
      </w:r>
    </w:p>
    <w:p>
      <w:pPr>
        <w:pStyle w:val="Heading2"/>
      </w:pPr>
      <w:bookmarkStart w:id="30" w:name="site-specific-reality-opal-overlay"/>
      <w:r>
        <w:t xml:space="preserve">Site-Specific Reality (Opal Overlay)</w:t>
      </w:r>
      <w:bookmarkEnd w:id="30"/>
    </w:p>
    <w:p>
      <w:pPr>
        <w:pStyle w:val="FirstParagraph"/>
      </w:pPr>
      <w:r>
        <w:t xml:space="preserve">Enterprise processes remain the baseline. Site-specific differences are applied as overlays. AI assembles training as:</w:t>
      </w:r>
    </w:p>
    <w:p>
      <w:pPr>
        <w:pStyle w:val="SourceCode"/>
      </w:pPr>
      <w:r>
        <w:rPr>
          <w:rStyle w:val="VerbatimChar"/>
        </w:rPr>
        <w:t xml:space="preserve">Enterprise Process + Site Overlay + Role Context = Delivered Training</w:t>
      </w:r>
    </w:p>
    <w:p>
      <w:pPr>
        <w:pStyle w:val="FirstParagraph"/>
      </w:pPr>
      <w:r>
        <w:t xml:space="preserve">This allows reuse without ignoring local reality.</w:t>
      </w:r>
    </w:p>
    <w:p>
      <w:pPr>
        <w:pStyle w:val="Heading2"/>
      </w:pPr>
      <w:bookmarkStart w:id="31" w:name="role-of-key-systems"/>
      <w:r>
        <w:t xml:space="preserve">Role of Key Systems</w:t>
      </w:r>
      <w:bookmarkEnd w:id="3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System</w:t>
            </w:r>
          </w:p>
        </w:tc>
        <w:tc>
          <w:tcPr>
            <w:tcBorders>
              <w:bottom w:val="single"/>
            </w:tcBorders>
            <w:vAlign w:val="bottom"/>
          </w:tcPr>
          <w:p>
            <w:pPr>
              <w:pStyle w:val="Compact"/>
              <w:jc w:val="left"/>
            </w:pPr>
            <w:r>
              <w:t xml:space="preserve">Role</w:t>
            </w:r>
          </w:p>
        </w:tc>
      </w:tr>
      <w:tr>
        <w:tc>
          <w:p>
            <w:pPr>
              <w:pStyle w:val="Compact"/>
              <w:jc w:val="left"/>
            </w:pPr>
            <w:r>
              <w:rPr>
                <w:b/>
              </w:rPr>
              <w:t xml:space="preserve">SAP / Signavio</w:t>
            </w:r>
          </w:p>
        </w:tc>
        <w:tc>
          <w:p>
            <w:pPr>
              <w:pStyle w:val="Compact"/>
              <w:jc w:val="left"/>
            </w:pPr>
            <w:r>
              <w:t xml:space="preserve">Source of process and semantic truth (not the UI truth)</w:t>
            </w:r>
          </w:p>
        </w:tc>
      </w:tr>
      <w:tr>
        <w:tc>
          <w:p>
            <w:pPr>
              <w:pStyle w:val="Compact"/>
              <w:jc w:val="left"/>
            </w:pPr>
            <w:r>
              <w:rPr>
                <w:b/>
              </w:rPr>
              <w:t xml:space="preserve">Robust Testing Scripts</w:t>
            </w:r>
          </w:p>
        </w:tc>
        <w:tc>
          <w:p>
            <w:pPr>
              <w:pStyle w:val="Compact"/>
              <w:jc w:val="left"/>
            </w:pPr>
            <w:r>
              <w:t xml:space="preserve">Primary execution truth — step-level fidelity, change detection via regression testing</w:t>
            </w:r>
          </w:p>
        </w:tc>
      </w:tr>
      <w:tr>
        <w:tc>
          <w:p>
            <w:pPr>
              <w:pStyle w:val="Compact"/>
              <w:jc w:val="left"/>
            </w:pPr>
            <w:r>
              <w:rPr>
                <w:b/>
              </w:rPr>
              <w:t xml:space="preserve">AI</w:t>
            </w:r>
          </w:p>
        </w:tc>
        <w:tc>
          <w:p>
            <w:pPr>
              <w:pStyle w:val="Compact"/>
              <w:jc w:val="left"/>
            </w:pPr>
            <w:r>
              <w:t xml:space="preserve">Translates technical assets into human-usable training — generates videos, job aids, and in-app guidance drafts</w:t>
            </w:r>
          </w:p>
        </w:tc>
      </w:tr>
      <w:tr>
        <w:tc>
          <w:p>
            <w:pPr>
              <w:pStyle w:val="Compact"/>
              <w:jc w:val="left"/>
            </w:pPr>
            <w:r>
              <w:rPr>
                <w:b/>
              </w:rPr>
              <w:t xml:space="preserve">Intelligent In-App Support</w:t>
            </w:r>
          </w:p>
        </w:tc>
        <w:tc>
          <w:p>
            <w:pPr>
              <w:pStyle w:val="Compact"/>
              <w:jc w:val="left"/>
            </w:pPr>
            <w:r>
              <w:t xml:space="preserve">Delivery surface, not the authoring engine</w:t>
            </w:r>
          </w:p>
        </w:tc>
      </w:tr>
    </w:tbl>
    <w:p>
      <w:pPr>
        <w:pStyle w:val="Heading2"/>
      </w:pPr>
      <w:bookmarkStart w:id="32" w:name="Xd1080553bd7f5a572005d826adf972f74400673"/>
      <w:r>
        <w:t xml:space="preserve">Game-Inspired Training (The Engagement Layer)</w:t>
      </w:r>
      <w:bookmarkEnd w:id="32"/>
    </w:p>
    <w:p>
      <w:pPr>
        <w:pStyle w:val="FirstParagraph"/>
      </w:pPr>
      <w:r>
        <w:t xml:space="preserve">Generating accurate training quickly is necessary but not sufficient. If nobody completes the training, accuracy doesn’t matter. The engagement problem is as important as the content problem.</w:t>
      </w:r>
    </w:p>
    <w:p>
      <w:pPr>
        <w:pStyle w:val="BodyText"/>
      </w:pPr>
      <w:r>
        <w:t xml:space="preserve">The UI trainer is being built as a game, not a tutorial. The design draws on the same mechanics that make mobile games addictive and applies them to SAP task simulation:</w:t>
      </w:r>
    </w:p>
    <w:p>
      <w:pPr>
        <w:pStyle w:val="Compact"/>
        <w:numPr>
          <w:ilvl w:val="0"/>
          <w:numId w:val="1009"/>
        </w:numPr>
      </w:pPr>
      <w:r>
        <w:rPr>
          <w:b/>
        </w:rPr>
        <w:t xml:space="preserve">Progressive levels:</w:t>
      </w:r>
      <w:r>
        <w:t xml:space="preserve"> Level 0 (UI basics) → Level 1 (guided steps with prompts) → Level 2 (semi-guided, hints available but delayed) → Level 3 (challenge/boss-fight mode: real task, timer, no prompts)</w:t>
      </w:r>
    </w:p>
    <w:p>
      <w:pPr>
        <w:pStyle w:val="Compact"/>
        <w:numPr>
          <w:ilvl w:val="0"/>
          <w:numId w:val="1009"/>
        </w:numPr>
      </w:pPr>
      <w:r>
        <w:rPr>
          <w:b/>
        </w:rPr>
        <w:t xml:space="preserve">XP and achievement badges:</w:t>
      </w:r>
      <w:r>
        <w:t xml:space="preserve"> Milestone recognition for first posting, first catch of a discrepancy, fastest goods receipt</w:t>
      </w:r>
    </w:p>
    <w:p>
      <w:pPr>
        <w:pStyle w:val="Compact"/>
        <w:numPr>
          <w:ilvl w:val="0"/>
          <w:numId w:val="1009"/>
        </w:numPr>
      </w:pPr>
      <w:r>
        <w:rPr>
          <w:b/>
        </w:rPr>
        <w:t xml:space="preserve">Timer:</w:t>
      </w:r>
      <w:r>
        <w:t xml:space="preserve"> Visible countdown in challenge mode, score based on speed and accuracy</w:t>
      </w:r>
    </w:p>
    <w:p>
      <w:pPr>
        <w:pStyle w:val="Compact"/>
        <w:numPr>
          <w:ilvl w:val="0"/>
          <w:numId w:val="1009"/>
        </w:numPr>
      </w:pPr>
      <w:r>
        <w:rPr>
          <w:b/>
        </w:rPr>
        <w:t xml:space="preserve">Leaderboard:</w:t>
      </w:r>
      <w:r>
        <w:t xml:space="preserve"> Site-level competition — who cleared goods receipt fastest this week</w:t>
      </w:r>
    </w:p>
    <w:p>
      <w:pPr>
        <w:pStyle w:val="Compact"/>
        <w:numPr>
          <w:ilvl w:val="0"/>
          <w:numId w:val="1009"/>
        </w:numPr>
      </w:pPr>
      <w:r>
        <w:rPr>
          <w:b/>
        </w:rPr>
        <w:t xml:space="preserve">Narrative stakes:</w:t>
      </w:r>
      <w:r>
        <w:t xml:space="preserve"> “The truck has been at the dock for 45 minutes. Dock fees start in 15. Post the goods receipt.” Pressure without actual consequences.</w:t>
      </w:r>
    </w:p>
    <w:p>
      <w:pPr>
        <w:pStyle w:val="Compact"/>
        <w:numPr>
          <w:ilvl w:val="0"/>
          <w:numId w:val="1009"/>
        </w:numPr>
      </w:pPr>
      <w:r>
        <w:rPr>
          <w:b/>
        </w:rPr>
        <w:t xml:space="preserve">Confetti and feedback:</w:t>
      </w:r>
      <w:r>
        <w:t xml:space="preserve"> Immediate positive reinforcement on successful posting; empathetic error explanations (not “wrong,” but “here’s what that would have caused downstream”)</w:t>
      </w:r>
    </w:p>
    <w:p>
      <w:pPr>
        <w:pStyle w:val="FirstParagraph"/>
      </w:pPr>
      <w:r>
        <w:t xml:space="preserve">Game-based training is not new — products like UKG Pro’s learning platform have demonstrated that story mode, character missions, and challenge levels significantly outperform traditional eLearning on completion rates. Nobody has built this for SAP at an affordable price point. That’s the gap.</w:t>
      </w:r>
    </w:p>
    <w:p>
      <w:pPr>
        <w:pStyle w:val="BodyText"/>
      </w:pPr>
      <w:r>
        <w:t xml:space="preserve">The AI-generation capability means the game content (scenarios, screens, scripts) updates automatically when the system changes. A traditional gamified training platform would require manual rework of every level after each ERP upgrade. This one recompiles.</w:t>
      </w:r>
    </w:p>
    <w:p>
      <w:pPr>
        <w:pStyle w:val="Heading2"/>
      </w:pPr>
      <w:bookmarkStart w:id="40" w:name="generation-architecture-ui-trainer"/>
      <w:r>
        <w:t xml:space="preserve">Generation Architecture (UI Trainer)</w:t>
      </w:r>
      <w:bookmarkEnd w:id="40"/>
    </w:p>
    <w:p>
      <w:pPr>
        <w:pStyle w:val="FirstParagraph"/>
      </w:pPr>
      <w:r>
        <w:t xml:space="preserve">The interactive UI trainer is fully generated from source — no AI is involved at build time or runtime. A single command produces a self-contained HTML file and all screen images. There is no server, no API call, and no model inference in the pipeline.</w:t>
      </w:r>
    </w:p>
    <w:p>
      <w:pPr>
        <w:pStyle w:val="Heading3"/>
      </w:pPr>
      <w:bookmarkStart w:id="41" w:name="source-files"/>
      <w:r>
        <w:t xml:space="preserve">Source Files</w:t>
      </w:r>
      <w:bookmarkEnd w:id="41"/>
    </w:p>
    <w:p>
      <w:pPr>
        <w:pStyle w:val="FirstParagraph"/>
      </w:pPr>
      <w:r>
        <w:t xml:space="preserve">Three files comprise the entire source:</w:t>
      </w:r>
    </w:p>
    <w:p>
      <w:pPr>
        <w:pStyle w:val="Compact"/>
        <w:numPr>
          <w:ilvl w:val="0"/>
          <w:numId w:val="1009"/>
        </w:numPr>
      </w:pPr>
      <w:r>
        <w:rPr>
          <w:rStyle w:val="VerbatimChar"/>
        </w:rPr>
        <w:t xml:space="preserve">scenarios/base.py</w:t>
      </w:r>
      <w:r>
        <w:t xml:space="preserve"> — Shared Pillow drawing primitives (fields, dropdowns, buttons, tables, checkboxes, shell bar). This is the visual component library that renders SAP Fiori-style UI elements as static PNGs.</w:t>
      </w:r>
    </w:p>
    <w:p>
      <w:pPr>
        <w:pStyle w:val="Compact"/>
        <w:numPr>
          <w:ilvl w:val="0"/>
          <w:numId w:val="1009"/>
        </w:numPr>
      </w:pPr>
      <w:r>
        <w:rPr>
          <w:rStyle w:val="VerbatimChar"/>
        </w:rPr>
        <w:t xml:space="preserve">scenarios/sedc_goods_receipt.py</w:t>
      </w:r>
      <w:r>
        <w:t xml:space="preserve"> — The scenario pack. Contains the complete scenario definition (all steps with goals, instructions, hints, hotspots, consequences, and explore descriptions) plus the screen generator functions that draw each screen using the base helpers. Each scenario pack is self-contained and can be swapped or duplicated for different handling profiles.</w:t>
      </w:r>
    </w:p>
    <w:p>
      <w:pPr>
        <w:pStyle w:val="Compact"/>
        <w:numPr>
          <w:ilvl w:val="0"/>
          <w:numId w:val="1009"/>
        </w:numPr>
      </w:pPr>
      <w:r>
        <w:rPr>
          <w:rStyle w:val="VerbatimChar"/>
        </w:rPr>
        <w:t xml:space="preserve">trainer_app.jsx</w:t>
      </w:r>
      <w:r>
        <w:t xml:space="preserve"> — The React application (~46K chars). This is the game engine: a useReducer state machine drives all four progression levels plus review mode. It reads scenario data injected as JSON globals and renders the interactive experience entirely client-side.</w:t>
      </w:r>
    </w:p>
    <w:p>
      <w:pPr>
        <w:pStyle w:val="Heading3"/>
      </w:pPr>
      <w:bookmarkStart w:id="42" w:name="build-process"/>
      <w:r>
        <w:t xml:space="preserve">Build Process</w:t>
      </w:r>
      <w:bookmarkEnd w:id="42"/>
    </w:p>
    <w:p>
      <w:pPr>
        <w:pStyle w:val="FirstParagraph"/>
      </w:pPr>
      <w:r>
        <w:t xml:space="preserve">The generator script reads the scenario module, calls its generate_screens() function (which renders 18 PNGs — 9 highlighted for Levels 0–1 and 9 neutral for Levels 2–3), reads the JSX file, and injects three JSON blobs (scenario data, highlighted screen paths, neutral screen paths) plus the JSX source into a single HTML wrapper. The output is a standalone directory: index.html plus two screen folders.</w:t>
      </w:r>
    </w:p>
    <w:p>
      <w:pPr>
        <w:pStyle w:val="Heading3"/>
      </w:pPr>
      <w:bookmarkStart w:id="43" w:name="where-ai-contributed-content"/>
      <w:r>
        <w:t xml:space="preserve">Where AI Contributed Content</w:t>
      </w:r>
      <w:bookmarkEnd w:id="43"/>
    </w:p>
    <w:p>
      <w:pPr>
        <w:pStyle w:val="FirstParagraph"/>
      </w:pPr>
      <w:r>
        <w:t xml:space="preserve">AI (Claude) authored the following content during the development process, not at runtime: all consequence descriptions (what happens in production if a step is done wrong), all explore-mode element descriptions, the narrative premises for Level 3, and the hint text for each step. These are plausible SAP MIGO descriptions based on general warehouse receiving knowledge but are not sourced from an actual SE-DC standard operating procedure or SAP configuration. For a real deployment, these strings would require SME review to ensure accuracy against the site’s specific process.</w:t>
      </w:r>
    </w:p>
    <w:p>
      <w:pPr>
        <w:pStyle w:val="BodyText"/>
      </w:pPr>
      <w:r>
        <w:t xml:space="preserve">Pixel coordinates for hotspots and field positions are calculated deterministically from the Pillow drawing code, not estimated or AI-generated.</w:t>
      </w:r>
    </w:p>
    <w:p>
      <w:pPr>
        <w:pStyle w:val="Heading3"/>
      </w:pPr>
      <w:bookmarkStart w:id="44" w:name="pedagogical-features"/>
      <w:r>
        <w:t xml:space="preserve">Pedagogical Features</w:t>
      </w:r>
      <w:bookmarkEnd w:id="44"/>
    </w:p>
    <w:p>
      <w:pPr>
        <w:pStyle w:val="FirstParagraph"/>
      </w:pPr>
      <w:r>
        <w:t xml:space="preserve">The current build includes six pedagogical mechanics beyond the base four-level progression: consequence-based elaborated error feedback (structured “what would happen in production” panels on wrong clicks in Levels 2–3), post-level debrief screens (expandable “why each step matters” cards shown after Levels 1–2), audio cues via Web Audio API (correct/wrong tones, timer tick in the last 10 seconds, win fanfare, timeout alert), a Review mode (5 randomly selected steps in scrambled order, accessible from the win screen), an adaptive hint system (after 3 consecutive wrong clicks in Level 2, the next hint becomes free), and decoy fields on neutral screens (2–3 non-target fields styled with subtle blue borders and tints to create multiple plausible click targets).</w:t>
      </w:r>
    </w:p>
    <w:p>
      <w:pPr>
        <w:pStyle w:val="Heading2"/>
      </w:pPr>
      <w:bookmarkStart w:id="33" w:name="why-this-is-credible-now"/>
      <w:r>
        <w:t xml:space="preserve">Why This Is Credible Now</w:t>
      </w:r>
      <w:bookmarkEnd w:id="33"/>
    </w:p>
    <w:p>
      <w:pPr>
        <w:pStyle w:val="FirstParagraph"/>
      </w:pPr>
      <w:r>
        <w:t>The same AI techniques used to rapidly generate viral video content (“Bigfoot videos”) are applied here in a governed, enterprise-safe way: script generation, video generation, workflow orchestration, and minimal human editing.</w:t>
      </w:r>
    </w:p>
    <w:p>
      <w:pPr>
        <w:pStyle w:val="BodyText"/>
      </w:pPr>
      <w:r>
        <w:t xml:space="preserve">The difference is governance, security, and accuracy — not core capability.</w:t>
      </w:r>
    </w:p>
    <w:p>
      <w:pPr>
        <w:pStyle w:val="BodyText"/>
      </w:pPr>
      <w:r>
        <w:t xml:space="preserve">The game mechanics gap is a distribution and incentive problem, not a technical one. The hard part — generating accurate, up-to-date simulation content at near-zero marginal cost — is what this system solves.</w:t>
      </w:r>
    </w:p>
    <w:p>
      <w:pPr>
        <w:pStyle w:val="Heading2"/>
      </w:pPr>
      <w:bookmarkStart w:id="34" w:name="pilot-approach-all-fabricated-data"/>
      <w:r>
        <w:t xml:space="preserve">Pilot Approach (all fabricated data)</w:t>
      </w:r>
      <w:bookmarkEnd w:id="34"/>
    </w:p>
    <w:p>
      <w:pPr>
        <w:pStyle w:val="FirstParagraph"/>
      </w:pPr>
      <w:r>
        <w:t>This PoC uses a fictional company — “GlobalMart Southeast Distribution Center” — with entirely fabricated process data, test scripts, and site configurations. No real enterprise data is used.</w:t>
      </w:r>
    </w:p>
    <w:p>
      <w:pPr>
        <w:numPr>
          <w:ilvl w:val="0"/>
          <w:numId w:val="1010"/>
        </w:numPr>
        <w:pStyle w:val="Compact"/>
      </w:pPr>
      <w:r>
        <w:t xml:space="preserve">One role (Buyer)</w:t>
      </w:r>
    </w:p>
    <w:p>
      <w:pPr>
        <w:numPr>
          <w:ilvl w:val="0"/>
          <w:numId w:val="1010"/>
        </w:numPr>
        <w:pStyle w:val="Compact"/>
      </w:pPr>
      <w:r>
        <w:t xml:space="preserve">One end-to-end process slice (Purchase Requisition → Goods Receipt)</w:t>
      </w:r>
    </w:p>
    <w:p>
      <w:pPr>
        <w:numPr>
          <w:ilvl w:val="0"/>
          <w:numId w:val="1010"/>
        </w:numPr>
        <w:pStyle w:val="Compact"/>
      </w:pPr>
      <w:r>
        <w:t xml:space="preserve">One fictional site (GlobalMart SE-DC, Atlanta, GA)</w:t>
      </w:r>
    </w:p>
    <w:p>
      <w:pPr>
        <w:numPr>
          <w:ilvl w:val="0"/>
          <w:numId w:val="1010"/>
        </w:numPr>
        <w:pStyle w:val="Compact"/>
      </w:pPr>
      <w:r>
        <w:t xml:space="preserve">One person, off-hours development</w:t>
      </w:r>
    </w:p>
    <w:p>
      <w:pPr>
        <w:pStyle w:val="FirstParagraph"/>
      </w:pPr>
      <w:r>
        <w:rPr>
          <w:b/>
        </w:rPr>
        <w:t xml:space="preserve">Outputs:</w:t>
      </w:r>
    </w:p>
    <w:p>
      <w:pPr>
        <w:numPr>
          <w:ilvl w:val="0"/>
          <w:numId w:val="1011"/>
        </w:numPr>
        <w:pStyle w:val="Compact"/>
      </w:pPr>
      <w:r>
        <w:t xml:space="preserve">AI-generated process explainer video</w:t>
      </w:r>
    </w:p>
    <w:p>
      <w:pPr>
        <w:numPr>
          <w:ilvl w:val="0"/>
          <w:numId w:val="1011"/>
        </w:numPr>
        <w:pStyle w:val="Compact"/>
      </w:pPr>
      <w:r>
        <w:t xml:space="preserve">Several role-specific job aids</w:t>
      </w:r>
    </w:p>
    <w:p>
      <w:pPr>
        <w:numPr>
          <w:ilvl w:val="0"/>
          <w:numId w:val="1011"/>
        </w:numPr>
        <w:pStyle w:val="Compact"/>
      </w:pPr>
      <w:r>
        <w:t xml:space="preserve">Interactive UI trainer with game mechanics</w:t>
      </w:r>
    </w:p>
    <w:p>
      <w:pPr>
        <w:numPr>
          <w:ilvl w:val="0"/>
          <w:numId w:val="1011"/>
        </w:numPr>
        <w:pStyle w:val="Compact"/>
      </w:pPr>
      <w:r>
        <w:t xml:space="preserve">Optional in-app guidance drafts</w:t>
      </w:r>
    </w:p>
    <w:p>
      <w:pPr>
        <w:pStyle w:val="FirstParagraph"/>
      </w:pPr>
      <w:r>
        <w:rPr>
          <w:b/>
        </w:rPr>
        <w:t xml:space="preserve">Goal:</w:t>
      </w:r>
      <w:r>
        <w:t xml:space="preserve"> Prove speed, accuracy, and maintainability — not perfection.</w:t>
      </w:r>
    </w:p>
    <w:p>
      <w:pPr>
        <w:pStyle w:val="Heading2"/>
      </w:pPr>
      <w:bookmarkStart w:id="35" w:name="current-status"/>
      <w:r>
        <w:t xml:space="preserve">Current Status</w:t>
      </w:r>
      <w:bookmarkEnd w:id="35"/>
    </w:p>
    <w:p>
      <w:pPr>
        <w:pStyle w:val="FirstParagraph"/>
      </w:pPr>
      <w:r>
        <w:t xml:space="preserve">The PoC to date covers Layers 1 through 5 with working code: navigation walkthroughs, AI-generated explainer videos (including a lip-synced Bigfoot character vlog built on Google Veo 3), role-specific job aids, in-app guidance drafts, and process rationale content. Layer 6 (continuous update triggers) is designed but not yet automated. The interactive UI trainer supports five distinct handling profiles (standard dry goods, perishable, pharmaceutical, hazardous materials, and serialized assets), each runnable as a standalone scenario.</w:t>
      </w:r>
    </w:p>
    <w:p>
      <w:pPr>
        <w:pStyle w:val="BodyText"/>
      </w:pPr>
      <w:r>
        <w:t xml:space="preserve">Total development time: 16 days of off-hours work. Total external API spend: less than $200.</w:t>
      </w:r>
    </w:p>
    <w:p>
      <w:pPr>
        <w:pStyle w:val="Heading2"/>
      </w:pPr>
      <w:bookmarkStart w:id="36" w:name="executive-soundbite"/>
      <w:r>
        <w:t xml:space="preserve">Executive Soundbite</w:t>
      </w:r>
      <w:bookmarkEnd w:id="36"/>
    </w:p>
    <w:p>
      <w:pPr>
        <w:pStyle w:val="BlockText"/>
      </w:pPr>
      <w:r>
        <w:t>“We’re not building training. We’re compiling it from the same assets that already keep the system running.”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2026-02-27T01:21:16Z</dcterms:created>
  <dcterms:modified xsi:type="dcterms:W3CDTF">2026-02-27T01:21:16Z</dcterms:modified>
</cp:coreProperties>
</file>

<file path=docProps/custom.xml><?xml version="1.0" encoding="utf-8"?>
<Properties xmlns="http://schemas.openxmlformats.org/officeDocument/2006/custom-properties" xmlns:vt="http://schemas.openxmlformats.org/officeDocument/2006/docPropsVTypes"/>
</file>