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Arial" w:hAnsi="Arial"/>
          <w:b/>
          <w:color w:val="1A3A5C"/>
          <w:sz w:val="52"/>
        </w:rPr>
        <w:t>Zero-Touch Training</w:t>
      </w:r>
    </w:p>
    <w:p>
      <w:pPr>
        <w:spacing w:after="80"/>
      </w:pPr>
      <w:r>
        <w:rPr>
          <w:rFonts w:ascii="Arial" w:hAnsi="Arial"/>
          <w:color w:val="4472C4"/>
          <w:sz w:val="30"/>
        </w:rPr>
        <w:t>Executive Summary</w:t>
      </w:r>
    </w:p>
    <w:p>
      <w:pPr>
        <w:spacing w:after="40"/>
      </w:pPr>
      <w:r>
        <w:rPr>
          <w:rFonts w:ascii="Arial" w:hAnsi="Arial"/>
          <w:color w:val="666666"/>
          <w:sz w:val="19"/>
        </w:rPr>
        <w:t>Proof of Concept  ·  April 2026</w:t>
      </w:r>
    </w:p>
    <w:p>
      <w:pPr>
        <w:spacing w:before="20" w:after="20"/>
        <w:pBdr>
          <w:bottom w:val="single" w:sz="6" w:space="1" w:color="2E75B6"/>
        </w:pBdr>
      </w:pPr>
    </w:p>
    <w:p>
      <w:pPr>
        <w:spacing w:after="80"/>
      </w:pPr>
    </w:p>
    <w:tbl>
      <w:tblPr>
        <w:tblW w:type="auto" w:w="0"/>
        <w:jc w:val="left"/>
        <w:tblLook w:firstColumn="1" w:firstRow="1" w:lastColumn="0" w:lastRow="0" w:noHBand="0" w:noVBand="1" w:val="04A0"/>
        <w:tblW w:w="9360" w:type="dxa"/>
      </w:tblPr>
      <w:tblGrid>
        <w:gridCol w:w="9360"/>
      </w:tblGrid>
      <w:tr>
        <w:tc>
          <w:tcPr>
            <w:tcW w:type="dxa" w:w="9360"/>
            <w:shd w:val="clear" w:color="auto" w:fill="EBF3FB"/>
            <w:tcBorders>
              <w:top w:val="single" w:sz="4" w:space="0" w:color="2E75B6"/>
              <w:left w:val="single" w:sz="4" w:space="0" w:color="2E75B6"/>
              <w:bottom w:val="single" w:sz="4" w:space="0" w:color="2E75B6"/>
              <w:right w:val="single" w:sz="4" w:space="0" w:color="2E75B6"/>
            </w:tcBorders>
          </w:tcPr>
          <w:p>
            <w:pPr>
              <w:spacing w:before="100" w:after="100"/>
            </w:pPr>
            <w:r>
              <w:rPr>
                <w:rFonts w:ascii="Arial" w:hAnsi="Arial"/>
                <w:b/>
                <w:color w:val="1A3A5C"/>
                <w:sz w:val="21"/>
              </w:rPr>
              <w:t xml:space="preserve">“  </w:t>
            </w:r>
            <w:r>
              <w:rPr>
                <w:rFonts w:ascii="Arial" w:hAnsi="Arial"/>
                <w:i/>
                <w:sz w:val="21"/>
              </w:rPr>
              <w:t>We’re not building training. We’re compiling it from the same assets that already keep the system running.</w:t>
            </w:r>
          </w:p>
        </w:tc>
      </w:tr>
    </w:tbl>
    <w:p>
      <w:pPr>
        <w:spacing w:after="120"/>
      </w:pPr>
    </w:p>
    <w:p>
      <w:pPr>
        <w:pStyle w:val="Heading1"/>
      </w:pPr>
      <w:r>
        <w:rPr>
          <w:rFonts w:ascii="Arial" w:hAnsi="Arial"/>
          <w:b/>
          <w:color w:val="1A3A5C"/>
          <w:sz w:val="30"/>
        </w:rPr>
        <w:t>The Problem</w:t>
      </w:r>
    </w:p>
    <w:p>
      <w:pPr>
        <w:spacing w:before="20" w:after="20"/>
        <w:pBdr>
          <w:bottom w:val="single" w:sz="6" w:space="1" w:color="CCCCCC"/>
        </w:pBdr>
      </w:pPr>
    </w:p>
    <w:p>
      <w:pPr>
        <w:spacing w:after="120"/>
      </w:pPr>
      <w:r>
        <w:rPr>
          <w:rFonts w:ascii="Arial" w:hAnsi="Arial"/>
          <w:sz w:val="21"/>
        </w:rPr>
        <w:t>Enterprise training is expensive to author, slow to update, and disconnected from the systems it is supposed to teach. In modern ERP environments, this is compounded by a deliberate architectural reality: organizations deploy a clean core — the standard SAP system — and then build an agility layer on top for customization, workflow orchestration, and capabilities the clean core intentionally keeps out of scope. A user may interact with both layers in the course of a single transaction. Traditional training tools are built for one static interface and cannot follow the user across that stack. Every time the agility layer evolves or a new capability is deployed, training falls out of date — and the person on the floor is left without accurate guidance at the moment they need it most.</w:t>
      </w:r>
    </w:p>
    <w:p>
      <w:pPr>
        <w:pStyle w:val="Heading1"/>
      </w:pPr>
      <w:r>
        <w:rPr>
          <w:rFonts w:ascii="Arial" w:hAnsi="Arial"/>
          <w:b/>
          <w:color w:val="1A3A5C"/>
          <w:sz w:val="30"/>
        </w:rPr>
        <w:t>The Core Idea</w:t>
      </w:r>
    </w:p>
    <w:p>
      <w:pPr>
        <w:spacing w:before="20" w:after="20"/>
        <w:pBdr>
          <w:bottom w:val="single" w:sz="6" w:space="1" w:color="CCCCCC"/>
        </w:pBdr>
      </w:pPr>
    </w:p>
    <w:p>
      <w:pPr>
        <w:spacing w:after="120"/>
      </w:pPr>
      <w:r>
        <w:rPr>
          <w:rFonts w:ascii="Arial" w:hAnsi="Arial"/>
          <w:sz w:val="21"/>
        </w:rPr>
        <w:t>A browser automation script navigates the real system once, captures every screen state, and outputs a complete training scenario. The game engine that plays back those scenarios is entirely system-agnostic — it requires only screenshots and step definitions, and does not care whether they came from SAP Fiori, Appian, ServiceNow, or a custom portal. When the system changes, re-run the capture. Training updates automatically, with no manual rework. This is Training-as-Code.</w:t>
      </w:r>
    </w:p>
    <w:p>
      <w:pPr>
        <w:pStyle w:val="Heading1"/>
      </w:pPr>
      <w:r>
        <w:rPr>
          <w:rFonts w:ascii="Arial" w:hAnsi="Arial"/>
          <w:b/>
          <w:color w:val="1A3A5C"/>
          <w:sz w:val="30"/>
        </w:rPr>
        <w:t>Why This Approach Is Different</w:t>
      </w:r>
    </w:p>
    <w:p>
      <w:pPr>
        <w:spacing w:before="20" w:after="20"/>
        <w:pBdr>
          <w:bottom w:val="single" w:sz="6" w:space="1" w:color="CCCCCC"/>
        </w:pBdr>
      </w:pPr>
    </w:p>
    <w:p>
      <w:pPr>
        <w:spacing w:after="120"/>
      </w:pPr>
      <w:r>
        <w:rPr>
          <w:rFonts w:ascii="Arial" w:hAnsi="Arial"/>
          <w:sz w:val="21"/>
        </w:rPr>
        <w:t>Three categories of tools exist today. None combine what this platform does:</w:t>
      </w:r>
    </w:p>
    <w:tbl>
      <w:tblPr>
        <w:tblW w:type="auto" w:w="0"/>
        <w:jc w:val="left"/>
        <w:tblLook w:firstColumn="1" w:firstRow="1" w:lastColumn="0" w:lastRow="0" w:noHBand="0" w:noVBand="1" w:val="04A0"/>
        <w:tblW w:w="12312" w:type="dxa"/>
      </w:tblPr>
      <w:tblGrid>
        <w:gridCol w:w="3120"/>
        <w:gridCol w:w="3120"/>
        <w:gridCol w:w="3120"/>
      </w:tblGrid>
      <w:tr>
        <w:tc>
          <w:tcPr>
            <w:tcW w:type="dxa" w:w="2376"/>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Tool</w:t>
            </w:r>
          </w:p>
        </w:tc>
        <w:tc>
          <w:tcPr>
            <w:tcW w:type="dxa" w:w="4968"/>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What it does</w:t>
            </w:r>
          </w:p>
        </w:tc>
        <w:tc>
          <w:tcPr>
            <w:tcW w:type="dxa" w:w="4968"/>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What it doesn’t do</w:t>
            </w:r>
          </w:p>
        </w:tc>
      </w:tr>
      <w:tr>
        <w:tc>
          <w:tcPr>
            <w:tcW w:type="dxa" w:w="237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SAP Enable Now</w:t>
            </w:r>
          </w:p>
        </w:tc>
        <w:tc>
          <w:tcPr>
            <w:tcW w:type="dxa" w:w="49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Records UI sessions, generates guided tours inside SAP Fiori and Web Dynpro</w:t>
            </w:r>
          </w:p>
        </w:tc>
        <w:tc>
          <w:tcPr>
            <w:tcW w:type="dxa" w:w="49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Requires SAP UI context for full functionality — degrades to a basic overlay on non-SAP surfaces. Cannot follow a user across a clean core + agility layer architecture; each front-end requires a separate recording and separate maintenance. No game mechanics, no narrative, no auto-regeneration when the UI changes.</w:t>
            </w:r>
          </w:p>
        </w:tc>
      </w:tr>
      <w:tr>
        <w:tc>
          <w:tcPr>
            <w:tcW w:type="dxa" w:w="2376"/>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WalkMe / Whatfix</w:t>
            </w:r>
          </w:p>
        </w:tc>
        <w:tc>
          <w:tcPr>
            <w:tcW w:type="dxa" w:w="49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Real-time overlay on the live application during actual work</w:t>
            </w:r>
          </w:p>
        </w:tc>
        <w:tc>
          <w:tcPr>
            <w:tcW w:type="dxa" w:w="49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Builds dependency, not competency. The learner always needs the overlay. Breaks silently when the UI changes.</w:t>
            </w:r>
          </w:p>
        </w:tc>
      </w:tr>
      <w:tr>
        <w:tc>
          <w:tcPr>
            <w:tcW w:type="dxa" w:w="237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UKG Pro Learning</w:t>
            </w:r>
          </w:p>
        </w:tc>
        <w:tc>
          <w:tcPr>
            <w:tcW w:type="dxa" w:w="49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Manually authored game-based training for one SaaS product. 67% higher completion rate vs. prior eLearning format.</w:t>
            </w:r>
          </w:p>
        </w:tc>
        <w:tc>
          <w:tcPr>
            <w:tcW w:type="dxa" w:w="49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Proves the model works. Cannot auto-generate content or cover ERP / multi-system environments.</w:t>
            </w:r>
          </w:p>
        </w:tc>
      </w:tr>
      <w:tr>
        <w:tc>
          <w:tcPr>
            <w:tcW w:type="dxa" w:w="2376"/>
            <w:tcBorders>
              <w:top w:val="single" w:sz="4" w:space="0" w:color="CCCCCC"/>
              <w:left w:val="single" w:sz="4" w:space="0" w:color="CCCCCC"/>
              <w:bottom w:val="single" w:sz="4" w:space="0" w:color="CCCCCC"/>
              <w:right w:val="single" w:sz="4" w:space="0" w:color="CCCCCC"/>
            </w:tcBorders>
            <w:shd w:val="clear" w:color="auto" w:fill="EBF3FB"/>
          </w:tcPr>
          <w:p>
            <w:pPr>
              <w:spacing w:before="60" w:after="60"/>
            </w:pPr>
            <w:r>
              <w:rPr>
                <w:rFonts w:ascii="Arial" w:hAnsi="Arial"/>
                <w:b/>
                <w:color w:val="1A3A5C"/>
                <w:sz w:val="19"/>
              </w:rPr>
              <w:t>Zero-Touch Training</w:t>
            </w:r>
          </w:p>
        </w:tc>
        <w:tc>
          <w:tcPr>
            <w:tcW w:type="dxa" w:w="4968"/>
            <w:tcBorders>
              <w:top w:val="single" w:sz="4" w:space="0" w:color="CCCCCC"/>
              <w:left w:val="single" w:sz="4" w:space="0" w:color="CCCCCC"/>
              <w:bottom w:val="single" w:sz="4" w:space="0" w:color="CCCCCC"/>
              <w:right w:val="single" w:sz="4" w:space="0" w:color="CCCCCC"/>
            </w:tcBorders>
            <w:shd w:val="clear" w:color="auto" w:fill="EBF3FB"/>
          </w:tcPr>
          <w:p>
            <w:pPr>
              <w:spacing w:before="60" w:after="60"/>
            </w:pPr>
            <w:r>
              <w:rPr>
                <w:rFonts w:ascii="Arial" w:hAnsi="Arial"/>
                <w:b/>
                <w:color w:val="1A3A5C"/>
                <w:sz w:val="19"/>
              </w:rPr>
              <w:t>Auto-generated, game-based, system-agnostic. One capture session per workflow, any web-based UI.</w:t>
            </w:r>
          </w:p>
        </w:tc>
        <w:tc>
          <w:tcPr>
            <w:tcW w:type="dxa" w:w="4968"/>
            <w:tcBorders>
              <w:top w:val="single" w:sz="4" w:space="0" w:color="CCCCCC"/>
              <w:left w:val="single" w:sz="4" w:space="0" w:color="CCCCCC"/>
              <w:bottom w:val="single" w:sz="4" w:space="0" w:color="CCCCCC"/>
              <w:right w:val="single" w:sz="4" w:space="0" w:color="CCCCCC"/>
            </w:tcBorders>
            <w:shd w:val="clear" w:color="auto" w:fill="EBF3FB"/>
          </w:tcPr>
          <w:p>
            <w:pPr>
              <w:spacing w:before="60" w:after="60"/>
            </w:pPr>
            <w:r>
              <w:rPr>
                <w:rFonts w:ascii="Arial" w:hAnsi="Arial"/>
                <w:b/>
                <w:color w:val="1A3A5C"/>
                <w:sz w:val="19"/>
              </w:rPr>
              <w:t>—</w:t>
            </w:r>
          </w:p>
        </w:tc>
      </w:tr>
    </w:tbl>
    <w:p>
      <w:pPr>
        <w:spacing w:after="120"/>
      </w:pPr>
    </w:p>
    <w:p>
      <w:pPr>
        <w:spacing w:after="80"/>
      </w:pPr>
      <w:r>
        <w:rPr>
          <w:rFonts w:ascii="Arial" w:hAnsi="Arial"/>
          <w:sz w:val="21"/>
        </w:rPr>
        <w:t>The UKG Pro result is the key benchmark: game-based training measurably outperforms eLearning at completion and retention. Zero-Touch is the first platform to combine that mechanic with auto-generation and system-agnostic capture.</w:t>
      </w:r>
    </w:p>
    <w:p>
      <w:pPr>
        <w:pStyle w:val="Heading1"/>
      </w:pPr>
      <w:r>
        <w:rPr>
          <w:rFonts w:ascii="Arial" w:hAnsi="Arial"/>
          <w:b/>
          <w:color w:val="1A3A5C"/>
          <w:sz w:val="30"/>
        </w:rPr>
        <w:t>What Has Been Built</w:t>
      </w:r>
    </w:p>
    <w:p>
      <w:pPr>
        <w:spacing w:before="20" w:after="20"/>
        <w:pBdr>
          <w:bottom w:val="single" w:sz="6" w:space="1" w:color="CCCCCC"/>
        </w:pBdr>
      </w:pPr>
    </w:p>
    <w:p>
      <w:pPr>
        <w:spacing w:after="120"/>
      </w:pPr>
      <w:r>
        <w:rPr>
          <w:rFonts w:ascii="Arial" w:hAnsi="Arial"/>
          <w:sz w:val="21"/>
        </w:rPr>
        <w:t>The proof of concept covers ERP software training (SAP MIGO Goods Receipt, 5 scenarios) and equipment maintenance training (AR-15 field strip), delivered through a single domain-agnostic game engine. Total development time: 18 days of off-hours work. Total external API spend: under $200.</w:t>
      </w:r>
    </w:p>
    <w:p>
      <w:pPr>
        <w:pStyle w:val="Heading2"/>
      </w:pPr>
      <w:r>
        <w:rPr>
          <w:rFonts w:ascii="Arial" w:hAnsi="Arial"/>
          <w:b/>
          <w:color w:val="1A3A5C"/>
          <w:sz w:val="24"/>
        </w:rPr>
        <w:t>What a New Hire Experiences</w:t>
      </w:r>
    </w:p>
    <w:p>
      <w:pPr>
        <w:spacing w:after="120"/>
      </w:pPr>
      <w:r>
        <w:rPr>
          <w:rFonts w:ascii="Arial" w:hAnsi="Arial"/>
          <w:sz w:val="21"/>
        </w:rPr>
        <w:t>A receiving clerk on their first morning opens a browser and logs in. An animated four-minute video walks the full purchase-to-pay cycle — who creates the PO, what happens after the goods receipt is posted, why an incorrect quantity causes an AP matching failure two departments over. The clerk identifies their role and the platform routes them to the five Goods Receipt scenarios, starting at EXPLORE level: no timer, no score, no failure state — just the screen and descriptions of every element.</w:t>
      </w:r>
    </w:p>
    <w:p>
      <w:pPr>
        <w:spacing w:after="80"/>
      </w:pPr>
      <w:r>
        <w:rPr>
          <w:rFonts w:ascii="Arial" w:hAnsi="Arial"/>
          <w:sz w:val="21"/>
        </w:rPr>
        <w:t>By the end of their first day they have completed Levels 0 and 1. By end of day two, they have posted their first live goods receipt already knowing what each field does, why it matters, and what a mistake costs two steps downstream. The system has not been configured for them. No instructor was present. No PDF was printed.</w:t>
      </w:r>
    </w:p>
    <w:p>
      <w:pPr>
        <w:pStyle w:val="Heading2"/>
      </w:pPr>
      <w:r>
        <w:rPr>
          <w:rFonts w:ascii="Arial" w:hAnsi="Arial"/>
          <w:b/>
          <w:color w:val="1A3A5C"/>
          <w:sz w:val="24"/>
        </w:rPr>
        <w:t>Game Engine — Four-Level Progression</w:t>
      </w:r>
    </w:p>
    <w:p>
      <w:pPr>
        <w:spacing w:after="120"/>
      </w:pPr>
      <w:r>
        <w:rPr>
          <w:rFonts w:ascii="Arial" w:hAnsi="Arial"/>
          <w:sz w:val="21"/>
        </w:rPr>
        <w:t>Every scenario runs through four progressive levels. The scaffolding decreases and the pressure increases at each step. Level names are domain-branded (ERP: EXPLORE → GUIDED → ON YOUR OWN → CHALLENGE; Hardware: OBSERVE → FOLLOW ALONG → DO IT → SPEED RUN) but the underlying progression logic is identical across all content.</w:t>
      </w:r>
    </w:p>
    <w:tbl>
      <w:tblPr>
        <w:tblW w:type="auto" w:w="0"/>
        <w:jc w:val="left"/>
        <w:tblLook w:firstColumn="1" w:firstRow="1" w:lastColumn="0" w:lastRow="0" w:noHBand="0" w:noVBand="1" w:val="04A0"/>
        <w:tblW w:w="12240" w:type="dxa"/>
      </w:tblPr>
      <w:tblGrid>
        <w:gridCol w:w="3120"/>
        <w:gridCol w:w="3120"/>
        <w:gridCol w:w="3120"/>
      </w:tblGrid>
      <w:tr>
        <w:tc>
          <w:tcPr>
            <w:tcW w:type="dxa" w:w="72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Level</w:t>
            </w:r>
          </w:p>
        </w:tc>
        <w:tc>
          <w:tcPr>
            <w:tcW w:type="dxa" w:w="252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Name</w:t>
            </w:r>
          </w:p>
        </w:tc>
        <w:tc>
          <w:tcPr>
            <w:tcW w:type="dxa" w:w="900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What Changes for the Learner</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0</w:t>
            </w:r>
          </w:p>
        </w:tc>
        <w:tc>
          <w:tcPr>
            <w:tcW w:type="dxa" w:w="25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EXPLORE / OBSERVE</w:t>
            </w:r>
          </w:p>
        </w:tc>
        <w:tc>
          <w:tcPr>
            <w:tcW w:type="dxa" w:w="90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No task pressure. Full descriptions on every element. No failure state. Build familiarity.</w:t>
            </w:r>
          </w:p>
        </w:tc>
      </w:tr>
      <w:tr>
        <w:tc>
          <w:tcPr>
            <w:tcW w:type="dxa" w:w="72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1</w:t>
            </w:r>
          </w:p>
        </w:tc>
        <w:tc>
          <w:tcPr>
            <w:tcW w:type="dxa" w:w="252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GUIDED / FOLLOW ALONG</w:t>
            </w:r>
          </w:p>
        </w:tc>
        <w:tc>
          <w:tcPr>
            <w:tcW w:type="dxa" w:w="90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Target highlighted. Wrong clicks redirected gently. Build correct muscle memory.</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2</w:t>
            </w:r>
          </w:p>
        </w:tc>
        <w:tc>
          <w:tcPr>
            <w:tcW w:type="dxa" w:w="25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ON YOUR OWN / DO IT</w:t>
            </w:r>
          </w:p>
        </w:tc>
        <w:tc>
          <w:tcPr>
            <w:tcW w:type="dxa" w:w="90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No highlights. Decoy fields active. Hints cost XP. Errors surface downstream consequence.</w:t>
            </w:r>
          </w:p>
        </w:tc>
      </w:tr>
      <w:tr>
        <w:tc>
          <w:tcPr>
            <w:tcW w:type="dxa" w:w="72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3</w:t>
            </w:r>
          </w:p>
        </w:tc>
        <w:tc>
          <w:tcPr>
            <w:tcW w:type="dxa" w:w="252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CHALLENGE / SPEED RUN</w:t>
            </w:r>
          </w:p>
        </w:tc>
        <w:tc>
          <w:tcPr>
            <w:tcW w:type="dxa" w:w="90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Timer running. No hints. Rotating narrative premise. Score recorded.</w:t>
            </w:r>
          </w:p>
        </w:tc>
      </w:tr>
    </w:tbl>
    <w:p>
      <w:pPr>
        <w:spacing w:after="120"/>
      </w:pPr>
    </w:p>
    <w:p>
      <w:pPr>
        <w:pStyle w:val="Heading2"/>
      </w:pPr>
      <w:r>
        <w:rPr>
          <w:rFonts w:ascii="Arial" w:hAnsi="Arial"/>
          <w:b/>
          <w:color w:val="1A3A5C"/>
          <w:sz w:val="24"/>
        </w:rPr>
        <w:t>Engagement Mechanics</w:t>
      </w:r>
    </w:p>
    <w:p>
      <w:pPr>
        <w:spacing w:after="120"/>
      </w:pPr>
      <w:r>
        <w:rPr>
          <w:rFonts w:ascii="Arial" w:hAnsi="Arial"/>
          <w:sz w:val="21"/>
        </w:rPr>
        <w:t>Eight mechanics are implemented and functional. The UKG Pro benchmark (+67% completion vs. eLearning) was achieved with a subset of these. All eight are running in the current PoC. Full design rationale for each mechanic is in docs/game-engine-spec.md.</w:t>
      </w:r>
    </w:p>
    <w:tbl>
      <w:tblPr>
        <w:tblW w:type="auto" w:w="0"/>
        <w:jc w:val="left"/>
        <w:tblLook w:firstColumn="1" w:firstRow="1" w:lastColumn="0" w:lastRow="0" w:noHBand="0" w:noVBand="1" w:val="04A0"/>
        <w:tblW w:w="12240" w:type="dxa"/>
      </w:tblPr>
      <w:tblGrid>
        <w:gridCol w:w="4680"/>
        <w:gridCol w:w="4680"/>
      </w:tblGrid>
      <w:tr>
        <w:tc>
          <w:tcPr>
            <w:tcW w:type="dxa" w:w="3168"/>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Mechanic</w:t>
            </w:r>
          </w:p>
        </w:tc>
        <w:tc>
          <w:tcPr>
            <w:tcW w:type="dxa" w:w="9072"/>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What It Produces in the Learner</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Consequence-based error feedback</w:t>
            </w:r>
          </w:p>
        </w:tc>
        <w:tc>
          <w:tcPr>
            <w:tcW w:type="dxa" w:w="90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Understands why a step matters, not just that they missed it. Wrong click surfaces the downstream production impact.</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Post-level debrief</w:t>
            </w:r>
          </w:p>
        </w:tc>
        <w:tc>
          <w:tcPr>
            <w:tcW w:type="dxa" w:w="907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Process rationale reinforced between pressure levels via expandable cards.</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Timer + audio cues</w:t>
            </w:r>
          </w:p>
        </w:tc>
        <w:tc>
          <w:tcPr>
            <w:tcW w:type="dxa" w:w="90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Urgency without real-world stakes. Silence in Levels 0–2; tick + fanfare in Level 3.</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Confetti + win celebration</w:t>
            </w:r>
          </w:p>
        </w:tc>
        <w:tc>
          <w:tcPr>
            <w:tcW w:type="dxa" w:w="907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Discrete reward at the exact moment of success — drives task repetition.</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Rotating narrative premise cards</w:t>
            </w:r>
          </w:p>
        </w:tc>
        <w:tc>
          <w:tcPr>
            <w:tcW w:type="dxa" w:w="90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Four operational story scenarios before Level 3 prevent memorization gaming.</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Decoy fields</w:t>
            </w:r>
          </w:p>
        </w:tc>
        <w:tc>
          <w:tcPr>
            <w:tcW w:type="dxa" w:w="907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Mirrors the cognitive load of the real SAP screen without live consequences.</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Adaptive hint system</w:t>
            </w:r>
          </w:p>
        </w:tc>
        <w:tc>
          <w:tcPr>
            <w:tcW w:type="dxa" w:w="90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Free hint after three consecutive wrong clicks — prevents frustration abandonment.</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Review mode</w:t>
            </w:r>
          </w:p>
        </w:tc>
        <w:tc>
          <w:tcPr>
            <w:tcW w:type="dxa" w:w="907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Spaced repetition via five scrambled steps accessible from the win screen.</w:t>
            </w:r>
          </w:p>
        </w:tc>
      </w:tr>
    </w:tbl>
    <w:p>
      <w:pPr>
        <w:spacing w:after="120"/>
      </w:pPr>
    </w:p>
    <w:p>
      <w:pPr>
        <w:pStyle w:val="Heading2"/>
      </w:pPr>
      <w:r>
        <w:rPr>
          <w:rFonts w:ascii="Arial" w:hAnsi="Arial"/>
          <w:b/>
          <w:color w:val="1A3A5C"/>
          <w:sz w:val="24"/>
        </w:rPr>
        <w:t>ERP Training — Goods Receipt (5 Scenarios)</w:t>
      </w:r>
    </w:p>
    <w:p>
      <w:pPr>
        <w:spacing w:after="120"/>
      </w:pPr>
      <w:r>
        <w:rPr>
          <w:rFonts w:ascii="Arial" w:hAnsi="Arial"/>
          <w:sz w:val="21"/>
        </w:rPr>
        <w:t>All five scenarios use the same underlying SAP MIGO workflow — same menu path, same Post button — but each activates a distinct parameter set that changes which fields are required, which validations fire, and what a mistake costs. A clerk trained only on standard dry goods is unprepared the first time a cold-chain or serialized shipment arrives. Training all five closes that gap without building five separate engines — only five scenario definition files that share the same engine.</w:t>
      </w:r>
    </w:p>
    <w:tbl>
      <w:tblPr>
        <w:tblW w:type="auto" w:w="0"/>
        <w:jc w:val="left"/>
        <w:tblLook w:firstColumn="1" w:firstRow="1" w:lastColumn="0" w:lastRow="0" w:noHBand="0" w:noVBand="1" w:val="04A0"/>
        <w:tblW w:w="12311" w:type="dxa"/>
      </w:tblPr>
      <w:tblGrid>
        <w:gridCol w:w="3120"/>
        <w:gridCol w:w="3120"/>
        <w:gridCol w:w="3120"/>
      </w:tblGrid>
      <w:tr>
        <w:tc>
          <w:tcPr>
            <w:tcW w:type="dxa" w:w="360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Scenario</w:t>
            </w:r>
          </w:p>
        </w:tc>
        <w:tc>
          <w:tcPr>
            <w:tcW w:type="dxa" w:w="7344"/>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What’s Different</w:t>
            </w:r>
          </w:p>
        </w:tc>
        <w:tc>
          <w:tcPr>
            <w:tcW w:type="dxa" w:w="1368"/>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Difficulty</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Receiving a Regular Shipment</w:t>
            </w:r>
          </w:p>
        </w:tc>
        <w:tc>
          <w:tcPr>
            <w:tcW w:type="dxa" w:w="734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Baseline. Standard fields, no special handling flags.</w:t>
            </w:r>
          </w:p>
        </w:tc>
        <w:tc>
          <w:tcPr>
            <w:tcW w:type="dxa" w:w="13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Day 1</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Receiving Hazmat / Dangerous Goods</w:t>
            </w:r>
          </w:p>
        </w:tc>
        <w:tc>
          <w:tcPr>
            <w:tcW w:type="dxa" w:w="7344"/>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DOT/OSHA compliance fields active. Wrong handling class = regulatory violation.</w:t>
            </w:r>
          </w:p>
        </w:tc>
        <w:tc>
          <w:tcPr>
            <w:tcW w:type="dxa" w:w="13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Intermediate</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Receiving High-Value / Serialized Items</w:t>
            </w:r>
          </w:p>
        </w:tc>
        <w:tc>
          <w:tcPr>
            <w:tcW w:type="dxa" w:w="734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Each unit individually serial-scanned. Batch shortcuts fail. Must match PO line exactly.</w:t>
            </w:r>
          </w:p>
        </w:tc>
        <w:tc>
          <w:tcPr>
            <w:tcW w:type="dxa" w:w="13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Intermediate</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Receiving Refrigerated / Cold Chain</w:t>
            </w:r>
          </w:p>
        </w:tc>
        <w:tc>
          <w:tcPr>
            <w:tcW w:type="dxa" w:w="7344"/>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Temperature record required before posting. Quality hold fires automatically.</w:t>
            </w:r>
          </w:p>
        </w:tc>
        <w:tc>
          <w:tcPr>
            <w:tcW w:type="dxa" w:w="13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Advanced</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Receiving Same-Day Distribution Items</w:t>
            </w:r>
          </w:p>
        </w:tc>
        <w:tc>
          <w:tcPr>
            <w:tcW w:type="dxa" w:w="734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Storage location = outbound staging, not standard bin. Delivery priority field required.</w:t>
            </w:r>
          </w:p>
        </w:tc>
        <w:tc>
          <w:tcPr>
            <w:tcW w:type="dxa" w:w="13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Advanced</w:t>
            </w:r>
          </w:p>
        </w:tc>
      </w:tr>
    </w:tbl>
    <w:p>
      <w:pPr>
        <w:spacing w:after="120"/>
      </w:pPr>
    </w:p>
    <w:p>
      <w:pPr>
        <w:pStyle w:val="Heading2"/>
      </w:pPr>
      <w:r>
        <w:rPr>
          <w:rFonts w:ascii="Arial" w:hAnsi="Arial"/>
          <w:b/>
          <w:color w:val="1A3A5C"/>
          <w:sz w:val="24"/>
        </w:rPr>
        <w:t>Hardware Training — Equipment Maintenance</w:t>
      </w:r>
    </w:p>
    <w:p>
      <w:pPr>
        <w:spacing w:after="80"/>
      </w:pPr>
      <w:r>
        <w:rPr>
          <w:rFonts w:ascii="Arial" w:hAnsi="Arial"/>
          <w:sz w:val="21"/>
        </w:rPr>
        <w:t>AR-15 field strip: 8 steps from verification-clear through disassembly and reassembly, using the same four-level game engine with a domain-branded shell (steel-grey, safety-orange accent). The hardware branding layer is a configuration abstraction — no engine code changes. Future scenarios include automotive maintenance (Ford F-150, pending Chilton manual delivery) and industrial lockout/tagout.</w:t>
      </w:r>
    </w:p>
    <w:p>
      <w:pPr>
        <w:pStyle w:val="Heading1"/>
      </w:pPr>
      <w:r>
        <w:rPr>
          <w:rFonts w:ascii="Arial" w:hAnsi="Arial"/>
          <w:b/>
          <w:color w:val="1A3A5C"/>
          <w:sz w:val="30"/>
        </w:rPr>
        <w:t>The Full Experience — How Training Is Accessed</w:t>
      </w:r>
    </w:p>
    <w:p>
      <w:pPr>
        <w:spacing w:before="20" w:after="20"/>
        <w:pBdr>
          <w:bottom w:val="single" w:sz="6" w:space="1" w:color="CCCCCC"/>
        </w:pBdr>
      </w:pPr>
    </w:p>
    <w:p>
      <w:pPr>
        <w:spacing w:after="120"/>
      </w:pPr>
      <w:r>
        <w:rPr>
          <w:rFonts w:ascii="Arial" w:hAnsi="Arial"/>
          <w:sz w:val="21"/>
        </w:rPr>
        <w:t>Training is accessed across three surfaces, each designed for a different moment in the learner’s day. Every surface shares the same scenarios, progress state, and four-level structure. The entry point for all of them is the Overview Video.</w:t>
      </w:r>
    </w:p>
    <w:p>
      <w:pPr>
        <w:pStyle w:val="Heading2"/>
      </w:pPr>
      <w:r>
        <w:rPr>
          <w:rFonts w:ascii="Arial" w:hAnsi="Arial"/>
          <w:b/>
          <w:color w:val="1A3A5C"/>
          <w:sz w:val="24"/>
        </w:rPr>
        <w:t>Surface 0 — The Overview Video (Bigfoot)</w:t>
      </w:r>
    </w:p>
    <w:p>
      <w:pPr>
        <w:spacing w:after="120"/>
      </w:pPr>
      <w:r>
        <w:rPr>
          <w:rFonts w:ascii="Arial" w:hAnsi="Arial"/>
          <w:sz w:val="21"/>
        </w:rPr>
        <w:t>Before any scenario selection, a short animated video (target: 3–5 minutes) walks the full purchase-to-pay cycle as a swimlane: PO created → goods arrive → receiving clerk posts GR → quality clears hold → AP matches invoice → vendor paid. Each step lights up in sequence. The receiving clerk’s step is highlighted so the learner immediately sees their position in the chain — and understands what their mistakes cost the people downstream.</w:t>
      </w:r>
    </w:p>
    <w:p>
      <w:pPr>
        <w:spacing w:after="120"/>
      </w:pPr>
      <w:r>
        <w:rPr>
          <w:rFonts w:ascii="Arial" w:hAnsi="Arial"/>
          <w:sz w:val="21"/>
        </w:rPr>
        <w:t>After the overview, the learner identifies their persona. The platform routes each role to the right starting content and surfaces only the scenarios relevant to that job.</w:t>
      </w:r>
    </w:p>
    <w:tbl>
      <w:tblPr>
        <w:tblW w:type="auto" w:w="0"/>
        <w:jc w:val="left"/>
        <w:tblLook w:firstColumn="1" w:firstRow="1" w:lastColumn="0" w:lastRow="0" w:noHBand="0" w:noVBand="1" w:val="04A0"/>
        <w:tblW w:w="12240" w:type="dxa"/>
      </w:tblPr>
      <w:tblGrid>
        <w:gridCol w:w="4680"/>
        <w:gridCol w:w="4680"/>
      </w:tblGrid>
      <w:tr>
        <w:tc>
          <w:tcPr>
            <w:tcW w:type="dxa" w:w="288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Persona</w:t>
            </w:r>
          </w:p>
        </w:tc>
        <w:tc>
          <w:tcPr>
            <w:tcW w:type="dxa" w:w="936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Routed To</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Receiving Clerk</w:t>
            </w:r>
          </w:p>
        </w:tc>
        <w:tc>
          <w:tcPr>
            <w:tcW w:type="dxa" w:w="93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All 5 Goods Receipt scenarios, starting at EXPLORE. Primary training audience.</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Warehouse Supervisor / Lead</w:t>
            </w:r>
          </w:p>
        </w:tc>
        <w:tc>
          <w:tcPr>
            <w:tcW w:type="dxa" w:w="936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Exception handling scenarios (blocked GRs, tolerance overrides, returns) plus the standard 5.</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Purchasing Agent</w:t>
            </w:r>
          </w:p>
        </w:tc>
        <w:tc>
          <w:tcPr>
            <w:tcW w:type="dxa" w:w="93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PO creation and vendor management training. Sees GR in the overview; does not train on it directly.</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Accounts Payable Clerk</w:t>
            </w:r>
          </w:p>
        </w:tc>
        <w:tc>
          <w:tcPr>
            <w:tcW w:type="dxa" w:w="936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Invoice matching training. Understands GR context for AP matching; does not post GRs.</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Quality Inspector</w:t>
            </w:r>
          </w:p>
        </w:tc>
        <w:tc>
          <w:tcPr>
            <w:tcW w:type="dxa" w:w="93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Inspection lot processing and quality-hold scenarios in the advanced track.</w:t>
            </w:r>
          </w:p>
        </w:tc>
      </w:tr>
    </w:tbl>
    <w:p>
      <w:pPr>
        <w:spacing w:after="120"/>
      </w:pPr>
    </w:p>
    <w:tbl>
      <w:tblPr>
        <w:tblW w:type="auto" w:w="0"/>
        <w:jc w:val="left"/>
        <w:tblLook w:firstColumn="1" w:firstRow="1" w:lastColumn="0" w:lastRow="0" w:noHBand="0" w:noVBand="1" w:val="04A0"/>
        <w:tblW w:w="9360" w:type="dxa"/>
      </w:tblPr>
      <w:tblGrid>
        <w:gridCol w:w="9360"/>
      </w:tblGrid>
      <w:tr>
        <w:tc>
          <w:tcPr>
            <w:tcW w:type="dxa" w:w="9360"/>
            <w:shd w:val="clear" w:color="auto" w:fill="FFF4E5"/>
            <w:tcBorders>
              <w:top w:val="single" w:sz="4" w:space="0" w:color="E87600"/>
              <w:left w:val="single" w:sz="4" w:space="0" w:color="E87600"/>
              <w:bottom w:val="single" w:sz="4" w:space="0" w:color="E87600"/>
              <w:right w:val="single" w:sz="4" w:space="0" w:color="E87600"/>
            </w:tcBorders>
          </w:tcPr>
          <w:p>
            <w:pPr>
              <w:spacing w:before="100" w:after="100"/>
            </w:pPr>
            <w:r>
              <w:rPr>
                <w:rFonts w:ascii="Arial" w:hAnsi="Arial"/>
                <w:i/>
                <w:sz w:val="21"/>
              </w:rPr>
              <w:t>Skipping the Overview Video saves 4 minutes and costs the learner the context that makes the next 30 minutes land. It is the highest-leverage piece of content per minute.</w:t>
            </w:r>
          </w:p>
        </w:tc>
      </w:tr>
    </w:tbl>
    <w:p>
      <w:pPr>
        <w:spacing w:after="120"/>
      </w:pPr>
    </w:p>
    <w:p>
      <w:pPr>
        <w:pStyle w:val="Heading2"/>
      </w:pPr>
      <w:r>
        <w:rPr>
          <w:rFonts w:ascii="Arial" w:hAnsi="Arial"/>
          <w:b/>
          <w:color w:val="1A3A5C"/>
          <w:sz w:val="24"/>
        </w:rPr>
        <w:t>Surface 1 — Fiori Launchpad: Training Status Badges</w:t>
      </w:r>
    </w:p>
    <w:p>
      <w:pPr>
        <w:spacing w:after="120"/>
      </w:pPr>
      <w:r>
        <w:rPr>
          <w:rFonts w:ascii="Arial" w:hAnsi="Arial"/>
          <w:sz w:val="21"/>
        </w:rPr>
        <w:t>A small status badge appears on each SAP Fiori tile on the launchpad — the only training UI visible on the home screen. The tile itself is unchanged; tapping it still opens the real SAP application. Tapping the badge opens a training popover. Badge state: gray (assigned, not started), amber with level number (in progress), green checkmark (all levels complete). A supervisor banner at the top of the launchpad shows team completion statistics and links to assign training.</w:t>
      </w:r>
    </w:p>
    <w:p>
      <w:pPr>
        <w:pStyle w:val="Heading2"/>
      </w:pPr>
      <w:r>
        <w:rPr>
          <w:rFonts w:ascii="Arial" w:hAnsi="Arial"/>
          <w:b/>
          <w:color w:val="1A3A5C"/>
          <w:sz w:val="24"/>
        </w:rPr>
        <w:t>Surface 2 — In-App Training Panel</w:t>
      </w:r>
    </w:p>
    <w:p>
      <w:pPr>
        <w:spacing w:after="120"/>
      </w:pPr>
      <w:r>
        <w:rPr>
          <w:rFonts w:ascii="Arial" w:hAnsi="Arial"/>
          <w:sz w:val="21"/>
        </w:rPr>
        <w:t>Once inside a transaction, a floating button docked to the bottom-right of every Fiori app gives the clerk access to training without abandoning the work in progress. Tapping it opens a 368px slide-in panel alongside the live SAP form. The form remains visible and interactive. The panel defaults to Help Now mode — a step list with the current step highlighted and a quick-tip section for the most common errors on that screen. A toggle switches to Practice mode to resume or restart any level.</w:t>
      </w:r>
    </w:p>
    <w:p>
      <w:pPr>
        <w:pStyle w:val="Heading2"/>
      </w:pPr>
      <w:r>
        <w:rPr>
          <w:rFonts w:ascii="Arial" w:hAnsi="Arial"/>
          <w:b/>
          <w:color w:val="1A3A5C"/>
          <w:sz w:val="24"/>
        </w:rPr>
        <w:t>Surface 3 — Standalone Training Portal</w:t>
      </w:r>
    </w:p>
    <w:p>
      <w:pPr>
        <w:spacing w:after="80"/>
      </w:pPr>
      <w:r>
        <w:rPr>
          <w:rFonts w:ascii="Arial" w:hAnsi="Arial"/>
          <w:sz w:val="21"/>
        </w:rPr>
        <w:t>The full scenario grid operates as a standalone web application requiring no SAP access. It serves pre-employment onboarding (before credentials are issued), break-room refresher sessions, and SCORM/xAPI packaging for LMS drop-in deployment.</w:t>
      </w:r>
    </w:p>
    <w:p>
      <w:pPr>
        <w:pStyle w:val="Heading1"/>
      </w:pPr>
      <w:r>
        <w:rPr>
          <w:rFonts w:ascii="Arial" w:hAnsi="Arial"/>
          <w:b/>
          <w:color w:val="1A3A5C"/>
          <w:sz w:val="30"/>
        </w:rPr>
        <w:t>Architecture at a Glance</w:t>
      </w:r>
    </w:p>
    <w:p>
      <w:pPr>
        <w:spacing w:before="20" w:after="20"/>
        <w:pBdr>
          <w:bottom w:val="single" w:sz="6" w:space="1" w:color="CCCCCC"/>
        </w:pBdr>
      </w:pPr>
    </w:p>
    <w:p>
      <w:pPr>
        <w:spacing w:after="120"/>
      </w:pPr>
      <w:r>
        <w:rPr>
          <w:rFonts w:ascii="Arial" w:hAnsi="Arial"/>
          <w:sz w:val="21"/>
        </w:rPr>
        <w:t>The game engine requires only screenshots and step definitions. It does not know or care what system produced them. A Playwright browser automation script navigates the real system once, captures every screen state, records element bounding boxes as hotspot coordinates, and outputs a complete scenario pack. The engine is unchanged across all systems and all content types.</w:t>
      </w:r>
    </w:p>
    <w:tbl>
      <w:tblPr>
        <w:tblW w:type="auto" w:w="0"/>
        <w:jc w:val="left"/>
        <w:tblLook w:firstColumn="1" w:firstRow="1" w:lastColumn="0" w:lastRow="0" w:noHBand="0" w:noVBand="1" w:val="04A0"/>
        <w:tblW w:w="9360" w:type="dxa"/>
      </w:tblPr>
      <w:tblGrid>
        <w:gridCol w:w="9360"/>
      </w:tblGrid>
      <w:tr>
        <w:tc>
          <w:tcPr>
            <w:tcW w:type="dxa" w:w="9360"/>
            <w:shd w:val="clear" w:color="auto" w:fill="F0F6FF"/>
            <w:tcBorders>
              <w:top w:val="single" w:sz="4" w:space="0" w:color="4472C4"/>
              <w:left w:val="single" w:sz="4" w:space="0" w:color="4472C4"/>
              <w:bottom w:val="single" w:sz="4" w:space="0" w:color="4472C4"/>
              <w:right w:val="single" w:sz="4" w:space="0" w:color="4472C4"/>
            </w:tcBorders>
          </w:tcPr>
          <w:p>
            <w:pPr>
              <w:spacing w:before="100" w:after="100"/>
            </w:pPr>
            <w:r>
              <w:rPr>
                <w:rFonts w:ascii="Arial" w:hAnsi="Arial"/>
                <w:i w:val="0"/>
                <w:sz w:val="21"/>
              </w:rPr>
              <w:t>Any web UI  →  Playwright capture session (1–2 hrs)  →  Scenario pack  →  Game engine (unchanged)  →  Interactive trainer</w:t>
            </w:r>
          </w:p>
        </w:tc>
      </w:tr>
    </w:tbl>
    <w:p>
      <w:pPr>
        <w:spacing w:after="120"/>
      </w:pPr>
    </w:p>
    <w:p>
      <w:pPr>
        <w:spacing w:after="120"/>
      </w:pPr>
      <w:r>
        <w:rPr>
          <w:rFonts w:ascii="Arial" w:hAnsi="Arial"/>
          <w:sz w:val="21"/>
        </w:rPr>
        <w:t>The current PoC uses Pillow-drawn screens (Phase 1) to prove the engine and scenario structure. Phase 2 replaces drawn screens with real captures. The table below shows which systems are supported and how. Full Phase 1/Phase 2 architecture detail is in docs/capture-pipeline.md.</w:t>
      </w:r>
    </w:p>
    <w:tbl>
      <w:tblPr>
        <w:tblW w:type="auto" w:w="0"/>
        <w:jc w:val="left"/>
        <w:tblLook w:firstColumn="1" w:firstRow="1" w:lastColumn="0" w:lastRow="0" w:noHBand="0" w:noVBand="1" w:val="04A0"/>
        <w:tblW w:w="12240" w:type="dxa"/>
      </w:tblPr>
      <w:tblGrid>
        <w:gridCol w:w="4680"/>
        <w:gridCol w:w="4680"/>
      </w:tblGrid>
      <w:tr>
        <w:tc>
          <w:tcPr>
            <w:tcW w:type="dxa" w:w="3168"/>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System</w:t>
            </w:r>
          </w:p>
        </w:tc>
        <w:tc>
          <w:tcPr>
            <w:tcW w:type="dxa" w:w="9072"/>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Capture Approach</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SAP Fiori</w:t>
            </w:r>
          </w:p>
        </w:tc>
        <w:tc>
          <w:tcPr>
            <w:tcW w:type="dxa" w:w="90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Playwright from SAP training client or IDES</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Appian</w:t>
            </w:r>
          </w:p>
        </w:tc>
        <w:tc>
          <w:tcPr>
            <w:tcW w:type="dxa" w:w="907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Playwright from Appian dev / staging environment</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ServiceNow</w:t>
            </w:r>
          </w:p>
        </w:tc>
        <w:tc>
          <w:tcPr>
            <w:tcW w:type="dxa" w:w="90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Playwright from ServiceNow developer instance (free)</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OutSystems / Mendix</w:t>
            </w:r>
          </w:p>
        </w:tc>
        <w:tc>
          <w:tcPr>
            <w:tcW w:type="dxa" w:w="907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Playwright from any deployed environment</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ERPNext (open source)</w:t>
            </w:r>
          </w:p>
        </w:tc>
        <w:tc>
          <w:tcPr>
            <w:tcW w:type="dxa" w:w="90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Playwright from self-hosted Docker — zero license cost. Purchase Receipt maps 1:1 to MIGO Goods Receipt.</w:t>
            </w:r>
          </w:p>
        </w:tc>
      </w:tr>
      <w:tr>
        <w:tc>
          <w:tcPr>
            <w:tcW w:type="dxa" w:w="31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Custom web portals</w:t>
            </w:r>
          </w:p>
        </w:tc>
        <w:tc>
          <w:tcPr>
            <w:tcW w:type="dxa" w:w="907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Playwright from any authenticated URL</w:t>
            </w:r>
          </w:p>
        </w:tc>
      </w:tr>
    </w:tbl>
    <w:p>
      <w:pPr>
        <w:spacing w:after="120"/>
      </w:pPr>
    </w:p>
    <w:p>
      <w:pPr>
        <w:spacing w:after="80"/>
      </w:pPr>
      <w:r>
        <w:rPr>
          <w:rFonts w:ascii="Arial" w:hAnsi="Arial"/>
          <w:sz w:val="21"/>
        </w:rPr>
        <w:t>For PoC development without SAP access, ERPNext (open source, MIT license, runs in Docker in under 5 minutes) provides a functionally equivalent capture target. Its Purchase Receipt workflow has the same fields, batch/serial/storage logic, and posting behavior as MIGO Goods Receipt — at zero licensing cost.</w:t>
      </w:r>
    </w:p>
    <w:p>
      <w:pPr>
        <w:pStyle w:val="Heading1"/>
      </w:pPr>
      <w:r>
        <w:rPr>
          <w:rFonts w:ascii="Arial" w:hAnsi="Arial"/>
          <w:b/>
          <w:color w:val="1A3A5C"/>
          <w:sz w:val="30"/>
        </w:rPr>
        <w:t>Deployment Path</w:t>
      </w:r>
    </w:p>
    <w:p>
      <w:pPr>
        <w:spacing w:before="20" w:after="20"/>
        <w:pBdr>
          <w:bottom w:val="single" w:sz="6" w:space="1" w:color="CCCCCC"/>
        </w:pBdr>
      </w:pPr>
    </w:p>
    <w:tbl>
      <w:tblPr>
        <w:tblW w:type="auto" w:w="0"/>
        <w:jc w:val="left"/>
        <w:tblLook w:firstColumn="1" w:firstRow="1" w:lastColumn="0" w:lastRow="0" w:noHBand="0" w:noVBand="1" w:val="04A0"/>
        <w:tblW w:w="12240" w:type="dxa"/>
      </w:tblPr>
      <w:tblGrid>
        <w:gridCol w:w="2340"/>
        <w:gridCol w:w="2340"/>
        <w:gridCol w:w="2340"/>
        <w:gridCol w:w="2340"/>
      </w:tblGrid>
      <w:tr>
        <w:tc>
          <w:tcPr>
            <w:tcW w:type="dxa" w:w="72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Level</w:t>
            </w:r>
          </w:p>
        </w:tc>
        <w:tc>
          <w:tcPr>
            <w:tcW w:type="dxa" w:w="4968"/>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What It Adds</w:t>
            </w:r>
          </w:p>
        </w:tc>
        <w:tc>
          <w:tcPr>
            <w:tcW w:type="dxa" w:w="180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Effort</w:t>
            </w:r>
          </w:p>
        </w:tc>
        <w:tc>
          <w:tcPr>
            <w:tcW w:type="dxa" w:w="4752"/>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Infrastructure Cost</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1</w:t>
            </w:r>
          </w:p>
        </w:tc>
        <w:tc>
          <w:tcPr>
            <w:tcW w:type="dxa" w:w="49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CDN-hosted static files, localStorage progress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Days</w:t>
            </w:r>
          </w:p>
        </w:tc>
        <w:tc>
          <w:tcPr>
            <w:tcW w:type="dxa" w:w="475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~$0/mo (Cloudflare Pages / S3)</w:t>
            </w:r>
          </w:p>
        </w:tc>
      </w:tr>
      <w:tr>
        <w:tc>
          <w:tcPr>
            <w:tcW w:type="dxa" w:w="72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2</w:t>
            </w:r>
          </w:p>
        </w:tc>
        <w:tc>
          <w:tcPr>
            <w:tcW w:type="dxa" w:w="49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Progress sync backend, leaderboard, admin completion view</w:t>
            </w:r>
          </w:p>
        </w:tc>
        <w:tc>
          <w:tcPr>
            <w:tcW w:type="dxa" w:w="18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1–2 weeks</w:t>
            </w:r>
          </w:p>
        </w:tc>
        <w:tc>
          <w:tcPr>
            <w:tcW w:type="dxa" w:w="475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$20–40/mo (Render / Railway)</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3</w:t>
            </w:r>
          </w:p>
        </w:tc>
        <w:tc>
          <w:tcPr>
            <w:tcW w:type="dxa" w:w="49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SCORM/xAPI wrapper for any LMS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1–2 weeks</w:t>
            </w:r>
          </w:p>
        </w:tc>
        <w:tc>
          <w:tcPr>
            <w:tcW w:type="dxa" w:w="475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Existing LMS infrastructure</w:t>
            </w:r>
          </w:p>
        </w:tc>
      </w:tr>
      <w:tr>
        <w:tc>
          <w:tcPr>
            <w:tcW w:type="dxa" w:w="72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4</w:t>
            </w:r>
          </w:p>
        </w:tc>
        <w:tc>
          <w:tcPr>
            <w:tcW w:type="dxa" w:w="496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Containerized Docker sandbox: live ERPNext or real system per session</w:t>
            </w:r>
          </w:p>
        </w:tc>
        <w:tc>
          <w:tcPr>
            <w:tcW w:type="dxa" w:w="18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4–6 weeks</w:t>
            </w:r>
          </w:p>
        </w:tc>
        <w:tc>
          <w:tcPr>
            <w:tcW w:type="dxa" w:w="475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$40–80/mo server (or $1,132 one-time local)</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5</w:t>
            </w:r>
          </w:p>
        </w:tc>
        <w:tc>
          <w:tcPr>
            <w:tcW w:type="dxa" w:w="49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Full Playwright capture pipeline: any web system, no engine changes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4–8 weeks</w:t>
            </w:r>
          </w:p>
        </w:tc>
        <w:tc>
          <w:tcPr>
            <w:tcW w:type="dxa" w:w="475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Access to sandbox / dev environment</w:t>
            </w:r>
          </w:p>
        </w:tc>
      </w:tr>
    </w:tbl>
    <w:p>
      <w:pPr>
        <w:spacing w:after="120"/>
      </w:pPr>
    </w:p>
    <w:p>
      <w:pPr>
        <w:pStyle w:val="Heading1"/>
      </w:pPr>
      <w:r>
        <w:rPr>
          <w:rFonts w:ascii="Arial" w:hAnsi="Arial"/>
          <w:b/>
          <w:color w:val="1A3A5C"/>
          <w:sz w:val="30"/>
        </w:rPr>
        <w:t>Market Opportunity</w:t>
      </w:r>
    </w:p>
    <w:p>
      <w:pPr>
        <w:spacing w:before="20" w:after="20"/>
        <w:pBdr>
          <w:bottom w:val="single" w:sz="6" w:space="1" w:color="CCCCCC"/>
        </w:pBdr>
      </w:pPr>
    </w:p>
    <w:p>
      <w:pPr>
        <w:pStyle w:val="Heading2"/>
      </w:pPr>
      <w:r>
        <w:rPr>
          <w:rFonts w:ascii="Arial" w:hAnsi="Arial"/>
          <w:b/>
          <w:color w:val="1A3A5C"/>
          <w:sz w:val="24"/>
        </w:rPr>
        <w:t>The Scale of the Problem</w:t>
      </w:r>
    </w:p>
    <w:p>
      <w:pPr>
        <w:spacing w:after="120"/>
      </w:pPr>
      <w:r>
        <w:rPr>
          <w:rFonts w:ascii="Arial" w:hAnsi="Arial"/>
          <w:sz w:val="21"/>
        </w:rPr>
        <w:t>There are approximately 1.7 million warehouse receiving and stocking roles in the US. Annual turnover in these positions runs 40–60%. At those rates, a 100-person receiving operation onboards 40–60 new clerks per year. Traditional ERP onboarding costs $1,200–2,500 per clerk in instructor time, system access, and downtime during supervised practice. Error rates in the first 90 days of employment are the primary driver of receiving dock rework, AP mismatches, and inventory discrepancies.</w:t>
      </w:r>
    </w:p>
    <w:p>
      <w:pPr>
        <w:spacing w:after="120"/>
      </w:pPr>
      <w:r>
        <w:rPr>
          <w:rFonts w:ascii="Arial" w:hAnsi="Arial"/>
          <w:sz w:val="21"/>
        </w:rPr>
        <w:t>The enterprise LMS and training content market is valued at over $50 billion globally, with ERP-specific onboarding a consistently underserved segment. Existing tools either require expensive content authoring (SAP Enable Now, Articulate) or provide real-time assistance that builds permanent dependency rather than transferable skill (WalkMe, Whatfix).</w:t>
      </w:r>
    </w:p>
    <w:p>
      <w:pPr>
        <w:pStyle w:val="Heading2"/>
      </w:pPr>
      <w:r>
        <w:rPr>
          <w:rFonts w:ascii="Arial" w:hAnsi="Arial"/>
          <w:b/>
          <w:color w:val="1A3A5C"/>
          <w:sz w:val="24"/>
        </w:rPr>
        <w:t>Commercial Warehouse Operations</w:t>
      </w:r>
    </w:p>
    <w:p>
      <w:pPr>
        <w:spacing w:after="120"/>
      </w:pPr>
      <w:r>
        <w:rPr>
          <w:rFonts w:ascii="Arial" w:hAnsi="Arial"/>
          <w:sz w:val="21"/>
        </w:rPr>
        <w:t>High-turnover distribution centers running SAP, Oracle, or any other web-based ERP represent the primary commercial target. The system-agnostic capture pipeline means the platform deploys to any customer without re-authoring the engine. The five handling profiles cover the majority of goods receipt variation across retail, pharmaceutical, and industrial distribution. At $200–400 per seat annually, a 500-person distribution center represents $100,000–200,000 in annual recurring revenue, with near-zero incremental content cost after initial capture.</w:t>
      </w:r>
    </w:p>
    <w:p>
      <w:pPr>
        <w:pStyle w:val="Heading2"/>
      </w:pPr>
      <w:r>
        <w:rPr>
          <w:rFonts w:ascii="Arial" w:hAnsi="Arial"/>
          <w:b/>
          <w:color w:val="1A3A5C"/>
          <w:sz w:val="24"/>
        </w:rPr>
        <w:t>Defense Logistics — Anniston Army Depot</w:t>
      </w:r>
    </w:p>
    <w:p>
      <w:pPr>
        <w:spacing w:after="80"/>
      </w:pPr>
      <w:r>
        <w:rPr>
          <w:rFonts w:ascii="Arial" w:hAnsi="Arial"/>
          <w:sz w:val="21"/>
        </w:rPr>
        <w:t>Anniston Army Depot (Anniston, AL) manages all nine Army Classes of Supply on GCSS-Army (SAP-based). High clerk turnover, regulatory pressure (Army audit standards, OSHA, DOT), and a target demographic of 18–25-year-old mobile-first personnel make it an ideal early adopter. The five handling profiles map directly to Army supply classes. Government procurement vehicles (OTAs, SBIRs, training-specific contracts) exist that can fund this outside a traditional defense sales cycle.</w:t>
      </w:r>
    </w:p>
    <w:p>
      <w:pPr>
        <w:pStyle w:val="Heading1"/>
      </w:pPr>
      <w:r>
        <w:rPr>
          <w:rFonts w:ascii="Arial" w:hAnsi="Arial"/>
          <w:b/>
          <w:color w:val="1A3A5C"/>
          <w:sz w:val="30"/>
        </w:rPr>
        <w:t>Next Steps</w:t>
      </w:r>
    </w:p>
    <w:p>
      <w:pPr>
        <w:spacing w:before="20" w:after="20"/>
        <w:pBdr>
          <w:bottom w:val="single" w:sz="6" w:space="1" w:color="CCCCCC"/>
        </w:pBdr>
      </w:pPr>
    </w:p>
    <w:p>
      <w:pPr>
        <w:spacing w:after="120"/>
      </w:pPr>
      <w:r>
        <w:rPr>
          <w:rFonts w:ascii="Arial" w:hAnsi="Arial"/>
          <w:sz w:val="21"/>
        </w:rPr>
        <w:t>The PoC proves the game engine, four-level pedagogy, and scenario structure. The following steps move the platform from PoC to pilot-ready:</w:t>
      </w:r>
    </w:p>
    <w:p>
      <w:pPr>
        <w:pStyle w:val="ListBullet"/>
        <w:spacing w:after="60"/>
      </w:pPr>
      <w:r>
        <w:rPr>
          <w:rFonts w:ascii="Arial" w:hAnsi="Arial"/>
          <w:b/>
          <w:sz w:val="21"/>
        </w:rPr>
        <w:t xml:space="preserve">Overview Video (Bigfoot): </w:t>
      </w:r>
      <w:r>
        <w:rPr>
          <w:rFonts w:ascii="Arial" w:hAnsi="Arial"/>
          <w:sz w:val="21"/>
        </w:rPr>
        <w:t>Produce the 3–5 minute animated purchase-to-pay walkthrough with persona identification. Highest-leverage content investment: contextualizes everything that follows.</w:t>
      </w:r>
    </w:p>
    <w:p>
      <w:pPr>
        <w:pStyle w:val="ListBullet"/>
        <w:spacing w:after="60"/>
      </w:pPr>
      <w:r>
        <w:rPr>
          <w:rFonts w:ascii="Arial" w:hAnsi="Arial"/>
          <w:b/>
          <w:sz w:val="21"/>
        </w:rPr>
        <w:t xml:space="preserve">Playwright capture pipeline: </w:t>
      </w:r>
      <w:r>
        <w:rPr>
          <w:rFonts w:ascii="Arial" w:hAnsi="Arial"/>
          <w:sz w:val="21"/>
        </w:rPr>
        <w:t>Build the Playwright recorder targeting ERPNext. Replaces drawn screens with real-system fidelity. Proves system-agnostic architecture with a zero-cost target.</w:t>
      </w:r>
    </w:p>
    <w:p>
      <w:pPr>
        <w:pStyle w:val="ListBullet"/>
        <w:spacing w:after="60"/>
      </w:pPr>
      <w:r>
        <w:rPr>
          <w:rFonts w:ascii="Arial" w:hAnsi="Arial"/>
          <w:b/>
          <w:sz w:val="21"/>
        </w:rPr>
        <w:t xml:space="preserve">Fiori launchpad badge integration: </w:t>
      </w:r>
      <w:r>
        <w:rPr>
          <w:rFonts w:ascii="Arial" w:hAnsi="Arial"/>
          <w:sz w:val="21"/>
        </w:rPr>
        <w:t>Build the UI5 extension point injecting training status badges onto tiles and the supervisor banner. Connects badge state to the progress backend.</w:t>
      </w:r>
    </w:p>
    <w:p>
      <w:pPr>
        <w:pStyle w:val="ListBullet"/>
        <w:spacing w:after="60"/>
      </w:pPr>
      <w:r>
        <w:rPr>
          <w:rFonts w:ascii="Arial" w:hAnsi="Arial"/>
          <w:b/>
          <w:sz w:val="21"/>
        </w:rPr>
        <w:t xml:space="preserve">In-app training panel: </w:t>
      </w:r>
      <w:r>
        <w:rPr>
          <w:rFonts w:ascii="Arial" w:hAnsi="Arial"/>
          <w:sz w:val="21"/>
        </w:rPr>
        <w:t>Implement the FAB and slide-in panel. Wire the Help Now step list to current scenario step definitions so it reflects the actual screen the user is on.</w:t>
      </w:r>
    </w:p>
    <w:p>
      <w:pPr>
        <w:pStyle w:val="ListBullet"/>
        <w:spacing w:after="60"/>
      </w:pPr>
      <w:r>
        <w:rPr>
          <w:rFonts w:ascii="Arial" w:hAnsi="Arial"/>
          <w:b/>
          <w:sz w:val="21"/>
        </w:rPr>
        <w:t xml:space="preserve">SCORM / xAPI wrapper: </w:t>
      </w:r>
      <w:r>
        <w:rPr>
          <w:rFonts w:ascii="Arial" w:hAnsi="Arial"/>
          <w:sz w:val="21"/>
        </w:rPr>
        <w:t>Package each scenario for LMS drop-in. Enables enterprise deployment without building auth or user management infrastructure.</w:t>
      </w:r>
    </w:p>
    <w:p>
      <w:pPr>
        <w:pStyle w:val="ListBullet"/>
        <w:spacing w:after="60"/>
      </w:pPr>
      <w:r>
        <w:rPr>
          <w:rFonts w:ascii="Arial" w:hAnsi="Arial"/>
          <w:b/>
          <w:sz w:val="21"/>
        </w:rPr>
        <w:t xml:space="preserve">Pilot deployment: </w:t>
      </w:r>
      <w:r>
        <w:rPr>
          <w:rFonts w:ascii="Arial" w:hAnsi="Arial"/>
          <w:sz w:val="21"/>
        </w:rPr>
        <w:t>Deploy to a live receiving dock with 5–10 new hires. Measure completion rate, time-to-competency, and post-training error rate vs. the current baseline.</w:t>
      </w:r>
    </w:p>
    <w:p>
      <w:pPr>
        <w:spacing w:after="120"/>
      </w:pPr>
    </w:p>
    <w:tbl>
      <w:tblPr>
        <w:tblW w:type="auto" w:w="0"/>
        <w:jc w:val="left"/>
        <w:tblLook w:firstColumn="1" w:firstRow="1" w:lastColumn="0" w:lastRow="0" w:noHBand="0" w:noVBand="1" w:val="04A0"/>
        <w:tblW w:w="9360" w:type="dxa"/>
      </w:tblPr>
      <w:tblGrid>
        <w:gridCol w:w="9360"/>
      </w:tblGrid>
      <w:tr>
        <w:tc>
          <w:tcPr>
            <w:tcW w:type="dxa" w:w="9360"/>
            <w:shd w:val="clear" w:color="auto" w:fill="E6F4EA"/>
            <w:tcBorders>
              <w:top w:val="single" w:sz="4" w:space="0" w:color="107E3E"/>
              <w:left w:val="single" w:sz="4" w:space="0" w:color="107E3E"/>
              <w:bottom w:val="single" w:sz="4" w:space="0" w:color="107E3E"/>
              <w:right w:val="single" w:sz="4" w:space="0" w:color="107E3E"/>
            </w:tcBorders>
          </w:tcPr>
          <w:p>
            <w:pPr>
              <w:spacing w:before="100" w:after="100"/>
            </w:pPr>
            <w:r>
              <w:rPr>
                <w:rFonts w:ascii="Arial" w:hAnsi="Arial"/>
                <w:i/>
                <w:sz w:val="21"/>
              </w:rPr>
              <w:t>To move from PoC to pilot: identify a receiving operation willing to run a 30-day cohort study. We provide the platform, the scenarios, and a completion dashboard. The operation provides 5–10 new hires and a pre-training error rate baseline to measure against. No SAP customization required for Level 1–3 deployment.</w:t>
            </w:r>
          </w:p>
        </w:tc>
      </w:tr>
    </w:tbl>
    <w:p>
      <w:pPr>
        <w:spacing w:after="120"/>
      </w:pPr>
    </w:p>
    <w:p>
      <w:pPr>
        <w:spacing w:after="160"/>
      </w:pPr>
    </w:p>
    <w:p>
      <w:pPr>
        <w:spacing w:before="20" w:after="20"/>
        <w:pBdr>
          <w:bottom w:val="single" w:sz="6" w:space="1" w:color="CCCCCC"/>
        </w:pBdr>
      </w:pPr>
    </w:p>
    <w:p>
      <w:pPr>
        <w:jc w:val="center"/>
      </w:pPr>
      <w:r>
        <w:rPr>
          <w:rFonts w:ascii="Arial" w:hAnsi="Arial"/>
          <w:color w:val="999999"/>
          <w:sz w:val="17"/>
        </w:rPr>
        <w:t>Zero-Touch Training — Proof of Concept  ·  April 2026  ·  Confidential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