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0"/>
        </w:rPr>
        <w:t>SCI of SCI: Does the Market's Coherence Level Oscillate Coherently?</w:t>
      </w:r>
    </w:p>
    <w:p>
      <w:pPr>
        <w:spacing w:before="20" w:after="20"/>
        <w:jc w:val="center"/>
      </w:pPr>
      <w:r>
        <w:rPr>
          <w:rFonts w:ascii="Times New Roman" w:hAnsi="Times New Roman"/>
          <w:b w:val="0"/>
          <w:i/>
          <w:sz w:val="22"/>
        </w:rPr>
        <w:t>Parker J. Lee</w:t>
      </w:r>
    </w:p>
    <w:p>
      <w:pPr>
        <w:spacing w:before="20" w:after="20"/>
        <w:jc w:val="center"/>
      </w:pPr>
      <w:r>
        <w:rPr>
          <w:rFonts w:ascii="Times New Roman" w:hAnsi="Times New Roman"/>
          <w:b w:val="0"/>
          <w:i/>
          <w:sz w:val="22"/>
        </w:rPr>
        <w:t>Independent Researcher · Nashville, TN</w:t>
      </w:r>
    </w:p>
    <w:p>
      <w:pPr>
        <w:spacing w:before="20" w:after="20"/>
        <w:jc w:val="center"/>
      </w:pPr>
      <w:r>
        <w:rPr>
          <w:rFonts w:ascii="Times New Roman" w:hAnsi="Times New Roman"/>
          <w:b w:val="0"/>
          <w:i/>
          <w:sz w:val="22"/>
        </w:rPr>
        <w:t>US Provisional Patent Application 63/904,444</w:t>
      </w:r>
    </w:p>
    <w:p>
      <w:pPr>
        <w:spacing w:before="20" w:after="20"/>
        <w:jc w:val="center"/>
      </w:pPr>
      <w:r>
        <w:rPr>
          <w:rFonts w:ascii="Times New Roman" w:hAnsi="Times New Roman"/>
          <w:b w:val="0"/>
          <w:i w:val="0"/>
          <w:sz w:val="22"/>
        </w:rPr>
        <w:t>2026-05-14</w:t>
      </w:r>
    </w:p>
    <w:p/>
    <w:p>
      <w:pPr>
        <w:spacing w:before="280" w:after="120"/>
      </w:pPr>
      <w:r>
        <w:rPr>
          <w:rFonts w:ascii="Times New Roman" w:hAnsi="Times New Roman"/>
          <w:b/>
          <w:i w:val="0"/>
          <w:sz w:val="28"/>
        </w:rPr>
        <w:t>Abstract</w:t>
      </w:r>
    </w:p>
    <w:p>
      <w:pPr>
        <w:spacing w:before="120" w:after="120" w:line="360" w:lineRule="exact"/>
        <w:jc w:val="both"/>
      </w:pPr>
      <w:r>
        <w:rPr>
          <w:rFonts w:ascii="Times New Roman" w:hAnsi="Times New Roman"/>
          <w:b w:val="0"/>
          <w:i w:val="0"/>
          <w:sz w:val="24"/>
        </w:rPr>
        <w:t>We applied the standard locked SCI pipeline (W=3, L=5, S=500, k=0.9) to the 56-month time series of universe-wide CORE fraction — the fraction of 1,339 financial instruments classified CORE at each monthly rebalance date from September 2021 to April 2026. The prediction was that this coherence-level signal would itself score CORE (SCI&gt;0.75), indicating that the market's coherence clusters in time. The prediction was not confirmed: the CORE fraction scores INELIGIBLE (z=−0.65, SCI=0.357) with the pre-specified parameters. A full lag sweep (L=1..10) shows INELIGIBLE at every lag. The mechanistic explanation is that phase-randomized surrogates of this bounded, low-frequency series are systematically smoother (higher envelope autocorrelation) than the real signal, which contains short-term month-to-month fluctuations that roughen the Hilbert envelope. SCI-of-SCI is not confirmed as a detection method for this signal type. However, the raw autocorrelation function of the CORE fraction reveals quasi-periodic structure with a ~9-month cycle: lag-9 ACF r=+0.582, t=4.80, p&lt;0.00002 (n=47 pairs). The oscillatory arrow of time is detectable as a raw oscillation in the coherence level at ~9-month period, but this structure is below the detection threshold of the Hilbert envelope SCI framework applied to a 56-point monthly series.</w:t>
      </w:r>
    </w:p>
    <w:p>
      <w:pPr>
        <w:spacing w:before="280" w:after="120"/>
      </w:pPr>
      <w:r>
        <w:rPr>
          <w:rFonts w:ascii="Times New Roman" w:hAnsi="Times New Roman"/>
          <w:b/>
          <w:i w:val="0"/>
          <w:sz w:val="28"/>
        </w:rPr>
        <w:t>1. Experiment Design</w:t>
      </w:r>
    </w:p>
    <w:p>
      <w:pPr>
        <w:spacing w:before="120" w:after="120" w:line="360" w:lineRule="exact"/>
        <w:jc w:val="both"/>
      </w:pPr>
      <w:r>
        <w:rPr>
          <w:rFonts w:ascii="Times New Roman" w:hAnsi="Times New Roman"/>
          <w:b w:val="0"/>
          <w:i w:val="0"/>
          <w:sz w:val="24"/>
        </w:rPr>
        <w:t>The SCI of SCI experiment asks the most direct possible question about the oscillatory arrow of time in financial data: is the market's coherence level — the fraction of the 1,339-instrument universe classified CORE at each month — itself coherent over time? If high-coherence months cluster with high-coherence months, the coherence level is itself a regime-structured signal, and SCI applied to it should return CORE.</w:t>
      </w:r>
    </w:p>
    <w:p>
      <w:pPr>
        <w:spacing w:before="120" w:after="120" w:line="360" w:lineRule="exact"/>
        <w:jc w:val="both"/>
      </w:pPr>
      <w:r>
        <w:rPr>
          <w:rFonts w:ascii="Times New Roman" w:hAnsi="Times New Roman"/>
          <w:b w:val="0"/>
          <w:i w:val="0"/>
          <w:sz w:val="24"/>
        </w:rPr>
        <w:t>Input: the monthly CORE fraction time series derived from the Triadic Law experiment (56 monthly dates, Sep 2021 – Apr 2026). PC1 from the Triadic PCA (59.93% of variance, r=+0.995 with INELIGIBLE fraction, r=−0.923 with CORE fraction) is the principal representation of the same signal. Both are tested.</w:t>
      </w:r>
    </w:p>
    <w:p>
      <w:pPr>
        <w:spacing w:before="120" w:after="120" w:line="360" w:lineRule="exact"/>
        <w:jc w:val="both"/>
      </w:pPr>
      <w:r>
        <w:rPr>
          <w:rFonts w:ascii="Times New Roman" w:hAnsi="Times New Roman"/>
          <w:b w:val="0"/>
          <w:i w:val="0"/>
          <w:sz w:val="24"/>
        </w:rPr>
        <w:t>Locked parameters per experiment specification: W=3, L=5, S=500, k=0.9, seed=42.</w:t>
      </w:r>
    </w:p>
    <w:p>
      <w:pPr>
        <w:spacing w:before="200" w:after="120"/>
      </w:pPr>
      <w:r>
        <w:rPr>
          <w:rFonts w:ascii="Times New Roman" w:hAnsi="Times New Roman"/>
          <w:b/>
          <w:i w:val="0"/>
          <w:sz w:val="26"/>
        </w:rPr>
        <w:t>1.1 Controls</w:t>
      </w:r>
    </w:p>
    <w:p>
      <w:pPr>
        <w:spacing w:before="120" w:after="120" w:line="360" w:lineRule="exact"/>
        <w:jc w:val="both"/>
      </w:pPr>
      <w:r>
        <w:rPr>
          <w:rFonts w:ascii="Times New Roman" w:hAnsi="Times New Roman"/>
          <w:b w:val="0"/>
          <w:i w:val="0"/>
          <w:sz w:val="24"/>
        </w:rPr>
        <w:t>Four controls were run alongside the main signal: (1) INELIGIBLE fraction — should mirror the CORE fraction result with opposite directional sensitivity; (2) PC2 from Triadic PCA — the distributional shape mode independent of level, should differ from PC1; (3) shuffled CORE fraction — destroys temporal order, should be INELIGIBLE; (4) white noise and random walk series of the same length — null references.</w:t>
      </w:r>
    </w:p>
    <w:p>
      <w:pPr>
        <w:spacing w:before="280" w:after="120"/>
      </w:pPr>
      <w:r>
        <w:rPr>
          <w:rFonts w:ascii="Times New Roman" w:hAnsi="Times New Roman"/>
          <w:b/>
          <w:i w:val="0"/>
          <w:sz w:val="28"/>
        </w:rPr>
        <w:t>2. Results</w:t>
      </w:r>
    </w:p>
    <w:p>
      <w:pPr>
        <w:spacing w:before="200" w:after="120"/>
      </w:pPr>
      <w:r>
        <w:rPr>
          <w:rFonts w:ascii="Times New Roman" w:hAnsi="Times New Roman"/>
          <w:b/>
          <w:i w:val="0"/>
          <w:sz w:val="26"/>
        </w:rPr>
        <w:t>2.1 Pre-Specified SCI Result</w:t>
      </w:r>
    </w:p>
    <w:p>
      <w:pPr>
        <w:spacing w:before="120" w:after="120" w:line="360" w:lineRule="exact"/>
        <w:jc w:val="both"/>
      </w:pPr>
      <w:r>
        <w:rPr>
          <w:rFonts w:ascii="Times New Roman" w:hAnsi="Times New Roman"/>
          <w:b w:val="0"/>
          <w:i w:val="0"/>
          <w:sz w:val="24"/>
        </w:rPr>
        <w:t>The CORE fraction scores INELIGIBLE across all pre-specified and exploratory parameters. The prediction was not confirmed.</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4057"/>
            <w:vAlign w:val="center"/>
          </w:tcPr>
          <w:p>
            <w:pPr>
              <w:jc w:val="center"/>
            </w:pPr>
            <w:r>
              <w:rPr>
                <w:rFonts w:ascii="Times New Roman" w:hAnsi="Times New Roman"/>
                <w:b/>
                <w:i w:val="0"/>
                <w:color w:val="FFFFFF"/>
                <w:sz w:val="18"/>
              </w:rPr>
              <w:t>Series</w:t>
            </w:r>
          </w:p>
        </w:tc>
        <w:tc>
          <w:tcPr>
            <w:tcW w:type="dxa" w:w="1040"/>
            <w:shd w:val="clear" w:color="auto" w:fill="2E4057"/>
            <w:vAlign w:val="center"/>
          </w:tcPr>
          <w:p>
            <w:pPr>
              <w:jc w:val="center"/>
            </w:pPr>
            <w:r>
              <w:rPr>
                <w:rFonts w:ascii="Times New Roman" w:hAnsi="Times New Roman"/>
                <w:b/>
                <w:i w:val="0"/>
                <w:color w:val="FFFFFF"/>
                <w:sz w:val="18"/>
              </w:rPr>
              <w:t>W</w:t>
            </w:r>
          </w:p>
        </w:tc>
        <w:tc>
          <w:tcPr>
            <w:tcW w:type="dxa" w:w="1040"/>
            <w:shd w:val="clear" w:color="auto" w:fill="2E4057"/>
            <w:vAlign w:val="center"/>
          </w:tcPr>
          <w:p>
            <w:pPr>
              <w:jc w:val="center"/>
            </w:pPr>
            <w:r>
              <w:rPr>
                <w:rFonts w:ascii="Times New Roman" w:hAnsi="Times New Roman"/>
                <w:b/>
                <w:i w:val="0"/>
                <w:color w:val="FFFFFF"/>
                <w:sz w:val="18"/>
              </w:rPr>
              <w:t>L</w:t>
            </w:r>
          </w:p>
        </w:tc>
        <w:tc>
          <w:tcPr>
            <w:tcW w:type="dxa" w:w="1040"/>
            <w:shd w:val="clear" w:color="auto" w:fill="2E4057"/>
            <w:vAlign w:val="center"/>
          </w:tcPr>
          <w:p>
            <w:pPr>
              <w:jc w:val="center"/>
            </w:pPr>
            <w:r>
              <w:rPr>
                <w:rFonts w:ascii="Times New Roman" w:hAnsi="Times New Roman"/>
                <w:b/>
                <w:i w:val="0"/>
                <w:color w:val="FFFFFF"/>
                <w:sz w:val="18"/>
              </w:rPr>
              <w:t>c_obs</w:t>
            </w:r>
          </w:p>
        </w:tc>
        <w:tc>
          <w:tcPr>
            <w:tcW w:type="dxa" w:w="1040"/>
            <w:shd w:val="clear" w:color="auto" w:fill="2E4057"/>
            <w:vAlign w:val="center"/>
          </w:tcPr>
          <w:p>
            <w:pPr>
              <w:jc w:val="center"/>
            </w:pPr>
            <w:r>
              <w:rPr>
                <w:rFonts w:ascii="Times New Roman" w:hAnsi="Times New Roman"/>
                <w:b/>
                <w:i w:val="0"/>
                <w:color w:val="FFFFFF"/>
                <w:sz w:val="18"/>
              </w:rPr>
              <w:t>c_surr</w:t>
            </w:r>
          </w:p>
        </w:tc>
        <w:tc>
          <w:tcPr>
            <w:tcW w:type="dxa" w:w="1040"/>
            <w:shd w:val="clear" w:color="auto" w:fill="2E4057"/>
            <w:vAlign w:val="center"/>
          </w:tcPr>
          <w:p>
            <w:pPr>
              <w:jc w:val="center"/>
            </w:pPr>
            <w:r>
              <w:rPr>
                <w:rFonts w:ascii="Times New Roman" w:hAnsi="Times New Roman"/>
                <w:b/>
                <w:i w:val="0"/>
                <w:color w:val="FFFFFF"/>
                <w:sz w:val="18"/>
              </w:rPr>
              <w:t>gap</w:t>
            </w:r>
          </w:p>
        </w:tc>
        <w:tc>
          <w:tcPr>
            <w:tcW w:type="dxa" w:w="1040"/>
            <w:shd w:val="clear" w:color="auto" w:fill="2E4057"/>
            <w:vAlign w:val="center"/>
          </w:tcPr>
          <w:p>
            <w:pPr>
              <w:jc w:val="center"/>
            </w:pPr>
            <w:r>
              <w:rPr>
                <w:rFonts w:ascii="Times New Roman" w:hAnsi="Times New Roman"/>
                <w:b/>
                <w:i w:val="0"/>
                <w:color w:val="FFFFFF"/>
                <w:sz w:val="18"/>
              </w:rPr>
              <w:t>z</w:t>
            </w:r>
          </w:p>
        </w:tc>
        <w:tc>
          <w:tcPr>
            <w:tcW w:type="dxa" w:w="1040"/>
            <w:shd w:val="clear" w:color="auto" w:fill="2E4057"/>
            <w:vAlign w:val="center"/>
          </w:tcPr>
          <w:p>
            <w:pPr>
              <w:jc w:val="center"/>
            </w:pPr>
            <w:r>
              <w:rPr>
                <w:rFonts w:ascii="Times New Roman" w:hAnsi="Times New Roman"/>
                <w:b/>
                <w:i w:val="0"/>
                <w:color w:val="FFFFFF"/>
                <w:sz w:val="18"/>
              </w:rPr>
              <w:t>SCI</w:t>
            </w:r>
          </w:p>
        </w:tc>
        <w:tc>
          <w:tcPr>
            <w:tcW w:type="dxa" w:w="1040"/>
            <w:shd w:val="clear" w:color="auto" w:fill="2E4057"/>
            <w:vAlign w:val="center"/>
          </w:tcPr>
          <w:p>
            <w:pPr>
              <w:jc w:val="center"/>
            </w:pPr>
            <w:r>
              <w:rPr>
                <w:rFonts w:ascii="Times New Roman" w:hAnsi="Times New Roman"/>
                <w:b/>
                <w:i w:val="0"/>
                <w:color w:val="FFFFFF"/>
                <w:sz w:val="18"/>
              </w:rPr>
              <w:t>Bucket</w:t>
            </w:r>
          </w:p>
        </w:tc>
      </w:tr>
      <w:tr>
        <w:tc>
          <w:tcPr>
            <w:tcW w:type="dxa" w:w="1040"/>
            <w:shd w:val="clear" w:color="auto" w:fill="FDECEA"/>
            <w:vAlign w:val="center"/>
          </w:tcPr>
          <w:p>
            <w:pPr>
              <w:jc w:val="left"/>
            </w:pPr>
            <w:r>
              <w:rPr>
                <w:rFonts w:ascii="Times New Roman" w:hAnsi="Times New Roman"/>
                <w:b w:val="0"/>
                <w:i w:val="0"/>
                <w:sz w:val="18"/>
              </w:rPr>
              <w:t>CORE fraction (main signal)</w:t>
            </w:r>
          </w:p>
        </w:tc>
        <w:tc>
          <w:tcPr>
            <w:tcW w:type="dxa" w:w="1040"/>
            <w:shd w:val="clear" w:color="auto" w:fill="FDECEA"/>
            <w:vAlign w:val="center"/>
          </w:tcPr>
          <w:p>
            <w:pPr>
              <w:jc w:val="center"/>
            </w:pPr>
            <w:r>
              <w:rPr>
                <w:rFonts w:ascii="Times New Roman" w:hAnsi="Times New Roman"/>
                <w:b w:val="0"/>
                <w:i w:val="0"/>
                <w:sz w:val="18"/>
              </w:rPr>
              <w:t>3</w:t>
            </w:r>
          </w:p>
        </w:tc>
        <w:tc>
          <w:tcPr>
            <w:tcW w:type="dxa" w:w="1040"/>
            <w:shd w:val="clear" w:color="auto" w:fill="FDECEA"/>
            <w:vAlign w:val="center"/>
          </w:tcPr>
          <w:p>
            <w:pPr>
              <w:jc w:val="center"/>
            </w:pPr>
            <w:r>
              <w:rPr>
                <w:rFonts w:ascii="Times New Roman" w:hAnsi="Times New Roman"/>
                <w:b w:val="0"/>
                <w:i w:val="0"/>
                <w:sz w:val="18"/>
              </w:rPr>
              <w:t>5</w:t>
            </w:r>
          </w:p>
        </w:tc>
        <w:tc>
          <w:tcPr>
            <w:tcW w:type="dxa" w:w="1040"/>
            <w:shd w:val="clear" w:color="auto" w:fill="FDECEA"/>
            <w:vAlign w:val="center"/>
          </w:tcPr>
          <w:p>
            <w:pPr>
              <w:jc w:val="center"/>
            </w:pPr>
            <w:r>
              <w:rPr>
                <w:rFonts w:ascii="Times New Roman" w:hAnsi="Times New Roman"/>
                <w:b w:val="0"/>
                <w:i w:val="0"/>
                <w:sz w:val="18"/>
              </w:rPr>
              <w:t>0.1050</w:t>
            </w:r>
          </w:p>
        </w:tc>
        <w:tc>
          <w:tcPr>
            <w:tcW w:type="dxa" w:w="1040"/>
            <w:shd w:val="clear" w:color="auto" w:fill="FDECEA"/>
            <w:vAlign w:val="center"/>
          </w:tcPr>
          <w:p>
            <w:pPr>
              <w:jc w:val="center"/>
            </w:pPr>
            <w:r>
              <w:rPr>
                <w:rFonts w:ascii="Times New Roman" w:hAnsi="Times New Roman"/>
                <w:b w:val="0"/>
                <w:i w:val="0"/>
                <w:sz w:val="18"/>
              </w:rPr>
              <w:t>0.1974</w:t>
            </w:r>
          </w:p>
        </w:tc>
        <w:tc>
          <w:tcPr>
            <w:tcW w:type="dxa" w:w="1040"/>
            <w:shd w:val="clear" w:color="auto" w:fill="FDECEA"/>
            <w:vAlign w:val="center"/>
          </w:tcPr>
          <w:p>
            <w:pPr>
              <w:jc w:val="center"/>
            </w:pPr>
            <w:r>
              <w:rPr>
                <w:rFonts w:ascii="Times New Roman" w:hAnsi="Times New Roman"/>
                <w:b w:val="0"/>
                <w:i w:val="0"/>
                <w:sz w:val="18"/>
              </w:rPr>
              <w:t>−0.0924</w:t>
            </w:r>
          </w:p>
        </w:tc>
        <w:tc>
          <w:tcPr>
            <w:tcW w:type="dxa" w:w="1040"/>
            <w:shd w:val="clear" w:color="auto" w:fill="FDECEA"/>
            <w:vAlign w:val="center"/>
          </w:tcPr>
          <w:p>
            <w:pPr>
              <w:jc w:val="center"/>
            </w:pPr>
            <w:r>
              <w:rPr>
                <w:rFonts w:ascii="Times New Roman" w:hAnsi="Times New Roman"/>
                <w:b w:val="0"/>
                <w:i w:val="0"/>
                <w:sz w:val="18"/>
              </w:rPr>
              <w:t>−0.652</w:t>
            </w:r>
          </w:p>
        </w:tc>
        <w:tc>
          <w:tcPr>
            <w:tcW w:type="dxa" w:w="1040"/>
            <w:shd w:val="clear" w:color="auto" w:fill="FDECEA"/>
            <w:vAlign w:val="center"/>
          </w:tcPr>
          <w:p>
            <w:pPr>
              <w:jc w:val="center"/>
            </w:pPr>
            <w:r>
              <w:rPr>
                <w:rFonts w:ascii="Times New Roman" w:hAnsi="Times New Roman"/>
                <w:b w:val="0"/>
                <w:i w:val="0"/>
                <w:sz w:val="18"/>
              </w:rPr>
              <w:t>0.357</w:t>
            </w:r>
          </w:p>
        </w:tc>
        <w:tc>
          <w:tcPr>
            <w:tcW w:type="dxa" w:w="1040"/>
            <w:shd w:val="clear" w:color="auto" w:fill="FDECEA"/>
            <w:vAlign w:val="center"/>
          </w:tcPr>
          <w:p>
            <w:pPr>
              <w:jc w:val="center"/>
            </w:pPr>
            <w:r>
              <w:rPr>
                <w:rFonts w:ascii="Times New Roman" w:hAnsi="Times New Roman"/>
                <w:b w:val="0"/>
                <w:i w:val="0"/>
                <w:sz w:val="18"/>
              </w:rPr>
              <w:t>INELIGIBLE</w:t>
            </w:r>
          </w:p>
        </w:tc>
      </w:tr>
      <w:tr>
        <w:tc>
          <w:tcPr>
            <w:tcW w:type="dxa" w:w="1040"/>
            <w:shd w:val="clear" w:color="auto" w:fill="FFF3CD"/>
            <w:vAlign w:val="center"/>
          </w:tcPr>
          <w:p>
            <w:pPr>
              <w:jc w:val="left"/>
            </w:pPr>
            <w:r>
              <w:rPr>
                <w:rFonts w:ascii="Times New Roman" w:hAnsi="Times New Roman"/>
                <w:b w:val="0"/>
                <w:i w:val="0"/>
                <w:sz w:val="18"/>
              </w:rPr>
              <w:t>PC1 — Triadic PCA (60% var)</w:t>
            </w:r>
          </w:p>
        </w:tc>
        <w:tc>
          <w:tcPr>
            <w:tcW w:type="dxa" w:w="1040"/>
            <w:shd w:val="clear" w:color="auto" w:fill="FFF3CD"/>
            <w:vAlign w:val="center"/>
          </w:tcPr>
          <w:p>
            <w:pPr>
              <w:jc w:val="center"/>
            </w:pPr>
            <w:r>
              <w:rPr>
                <w:rFonts w:ascii="Times New Roman" w:hAnsi="Times New Roman"/>
                <w:b w:val="0"/>
                <w:i w:val="0"/>
                <w:sz w:val="18"/>
              </w:rPr>
              <w:t>3</w:t>
            </w:r>
          </w:p>
        </w:tc>
        <w:tc>
          <w:tcPr>
            <w:tcW w:type="dxa" w:w="1040"/>
            <w:shd w:val="clear" w:color="auto" w:fill="FFF3CD"/>
            <w:vAlign w:val="center"/>
          </w:tcPr>
          <w:p>
            <w:pPr>
              <w:jc w:val="center"/>
            </w:pPr>
            <w:r>
              <w:rPr>
                <w:rFonts w:ascii="Times New Roman" w:hAnsi="Times New Roman"/>
                <w:b w:val="0"/>
                <w:i w:val="0"/>
                <w:sz w:val="18"/>
              </w:rPr>
              <w:t>5</w:t>
            </w:r>
          </w:p>
        </w:tc>
        <w:tc>
          <w:tcPr>
            <w:tcW w:type="dxa" w:w="1040"/>
            <w:shd w:val="clear" w:color="auto" w:fill="FFF3CD"/>
            <w:vAlign w:val="center"/>
          </w:tcPr>
          <w:p>
            <w:pPr>
              <w:jc w:val="center"/>
            </w:pPr>
            <w:r>
              <w:rPr>
                <w:rFonts w:ascii="Times New Roman" w:hAnsi="Times New Roman"/>
                <w:b w:val="0"/>
                <w:i w:val="0"/>
                <w:sz w:val="18"/>
              </w:rPr>
              <w:t>0.2800</w:t>
            </w:r>
          </w:p>
        </w:tc>
        <w:tc>
          <w:tcPr>
            <w:tcW w:type="dxa" w:w="1040"/>
            <w:shd w:val="clear" w:color="auto" w:fill="FFF3CD"/>
            <w:vAlign w:val="center"/>
          </w:tcPr>
          <w:p>
            <w:pPr>
              <w:jc w:val="center"/>
            </w:pPr>
            <w:r>
              <w:rPr>
                <w:rFonts w:ascii="Times New Roman" w:hAnsi="Times New Roman"/>
                <w:b w:val="0"/>
                <w:i w:val="0"/>
                <w:sz w:val="18"/>
              </w:rPr>
              <w:t>0.2238</w:t>
            </w:r>
          </w:p>
        </w:tc>
        <w:tc>
          <w:tcPr>
            <w:tcW w:type="dxa" w:w="1040"/>
            <w:shd w:val="clear" w:color="auto" w:fill="FFF3CD"/>
            <w:vAlign w:val="center"/>
          </w:tcPr>
          <w:p>
            <w:pPr>
              <w:jc w:val="center"/>
            </w:pPr>
            <w:r>
              <w:rPr>
                <w:rFonts w:ascii="Times New Roman" w:hAnsi="Times New Roman"/>
                <w:b w:val="0"/>
                <w:i w:val="0"/>
                <w:sz w:val="18"/>
              </w:rPr>
              <w:t>+0.0562</w:t>
            </w:r>
          </w:p>
        </w:tc>
        <w:tc>
          <w:tcPr>
            <w:tcW w:type="dxa" w:w="1040"/>
            <w:shd w:val="clear" w:color="auto" w:fill="FFF3CD"/>
            <w:vAlign w:val="center"/>
          </w:tcPr>
          <w:p>
            <w:pPr>
              <w:jc w:val="center"/>
            </w:pPr>
            <w:r>
              <w:rPr>
                <w:rFonts w:ascii="Times New Roman" w:hAnsi="Times New Roman"/>
                <w:b w:val="0"/>
                <w:i w:val="0"/>
                <w:sz w:val="18"/>
              </w:rPr>
              <w:t>+0.460</w:t>
            </w:r>
          </w:p>
        </w:tc>
        <w:tc>
          <w:tcPr>
            <w:tcW w:type="dxa" w:w="1040"/>
            <w:shd w:val="clear" w:color="auto" w:fill="FFF3CD"/>
            <w:vAlign w:val="center"/>
          </w:tcPr>
          <w:p>
            <w:pPr>
              <w:jc w:val="center"/>
            </w:pPr>
            <w:r>
              <w:rPr>
                <w:rFonts w:ascii="Times New Roman" w:hAnsi="Times New Roman"/>
                <w:b w:val="0"/>
                <w:i w:val="0"/>
                <w:sz w:val="18"/>
              </w:rPr>
              <w:t>0.602</w:t>
            </w:r>
          </w:p>
        </w:tc>
        <w:tc>
          <w:tcPr>
            <w:tcW w:type="dxa" w:w="1040"/>
            <w:shd w:val="clear" w:color="auto" w:fill="FFF3CD"/>
            <w:vAlign w:val="center"/>
          </w:tcPr>
          <w:p>
            <w:pPr>
              <w:jc w:val="center"/>
            </w:pPr>
            <w:r>
              <w:rPr>
                <w:rFonts w:ascii="Times New Roman" w:hAnsi="Times New Roman"/>
                <w:b w:val="0"/>
                <w:i w:val="0"/>
                <w:sz w:val="18"/>
              </w:rPr>
              <w:t>TACTICAL</w:t>
            </w:r>
          </w:p>
        </w:tc>
      </w:tr>
      <w:tr>
        <w:tc>
          <w:tcPr>
            <w:tcW w:type="dxa" w:w="1040"/>
            <w:shd w:val="clear" w:color="auto" w:fill="FFF3CD"/>
            <w:vAlign w:val="center"/>
          </w:tcPr>
          <w:p>
            <w:pPr>
              <w:jc w:val="left"/>
            </w:pPr>
            <w:r>
              <w:rPr>
                <w:rFonts w:ascii="Times New Roman" w:hAnsi="Times New Roman"/>
                <w:b w:val="0"/>
                <w:i w:val="0"/>
                <w:sz w:val="18"/>
              </w:rPr>
              <w:t>INELIGIBLE fraction</w:t>
            </w:r>
          </w:p>
        </w:tc>
        <w:tc>
          <w:tcPr>
            <w:tcW w:type="dxa" w:w="1040"/>
            <w:shd w:val="clear" w:color="auto" w:fill="FFF3CD"/>
            <w:vAlign w:val="center"/>
          </w:tcPr>
          <w:p>
            <w:pPr>
              <w:jc w:val="center"/>
            </w:pPr>
            <w:r>
              <w:rPr>
                <w:rFonts w:ascii="Times New Roman" w:hAnsi="Times New Roman"/>
                <w:b w:val="0"/>
                <w:i w:val="0"/>
                <w:sz w:val="18"/>
              </w:rPr>
              <w:t>3</w:t>
            </w:r>
          </w:p>
        </w:tc>
        <w:tc>
          <w:tcPr>
            <w:tcW w:type="dxa" w:w="1040"/>
            <w:shd w:val="clear" w:color="auto" w:fill="FFF3CD"/>
            <w:vAlign w:val="center"/>
          </w:tcPr>
          <w:p>
            <w:pPr>
              <w:jc w:val="center"/>
            </w:pPr>
            <w:r>
              <w:rPr>
                <w:rFonts w:ascii="Times New Roman" w:hAnsi="Times New Roman"/>
                <w:b w:val="0"/>
                <w:i w:val="0"/>
                <w:sz w:val="18"/>
              </w:rPr>
              <w:t>5</w:t>
            </w:r>
          </w:p>
        </w:tc>
        <w:tc>
          <w:tcPr>
            <w:tcW w:type="dxa" w:w="1040"/>
            <w:shd w:val="clear" w:color="auto" w:fill="FFF3CD"/>
            <w:vAlign w:val="center"/>
          </w:tcPr>
          <w:p>
            <w:pPr>
              <w:jc w:val="center"/>
            </w:pPr>
            <w:r>
              <w:rPr>
                <w:rFonts w:ascii="Times New Roman" w:hAnsi="Times New Roman"/>
                <w:b w:val="0"/>
                <w:i w:val="0"/>
                <w:sz w:val="18"/>
              </w:rPr>
              <w:t>0.2807</w:t>
            </w:r>
          </w:p>
        </w:tc>
        <w:tc>
          <w:tcPr>
            <w:tcW w:type="dxa" w:w="1040"/>
            <w:shd w:val="clear" w:color="auto" w:fill="FFF3CD"/>
            <w:vAlign w:val="center"/>
          </w:tcPr>
          <w:p>
            <w:pPr>
              <w:jc w:val="center"/>
            </w:pPr>
            <w:r>
              <w:rPr>
                <w:rFonts w:ascii="Times New Roman" w:hAnsi="Times New Roman"/>
                <w:b w:val="0"/>
                <w:i w:val="0"/>
                <w:sz w:val="18"/>
              </w:rPr>
              <w:t>0.2044</w:t>
            </w:r>
          </w:p>
        </w:tc>
        <w:tc>
          <w:tcPr>
            <w:tcW w:type="dxa" w:w="1040"/>
            <w:shd w:val="clear" w:color="auto" w:fill="FFF3CD"/>
            <w:vAlign w:val="center"/>
          </w:tcPr>
          <w:p>
            <w:pPr>
              <w:jc w:val="center"/>
            </w:pPr>
            <w:r>
              <w:rPr>
                <w:rFonts w:ascii="Times New Roman" w:hAnsi="Times New Roman"/>
                <w:b w:val="0"/>
                <w:i w:val="0"/>
                <w:sz w:val="18"/>
              </w:rPr>
              <w:t>+0.0763</w:t>
            </w:r>
          </w:p>
        </w:tc>
        <w:tc>
          <w:tcPr>
            <w:tcW w:type="dxa" w:w="1040"/>
            <w:shd w:val="clear" w:color="auto" w:fill="FFF3CD"/>
            <w:vAlign w:val="center"/>
          </w:tcPr>
          <w:p>
            <w:pPr>
              <w:jc w:val="center"/>
            </w:pPr>
            <w:r>
              <w:rPr>
                <w:rFonts w:ascii="Times New Roman" w:hAnsi="Times New Roman"/>
                <w:b w:val="0"/>
                <w:i w:val="0"/>
                <w:sz w:val="18"/>
              </w:rPr>
              <w:t>+0.638</w:t>
            </w:r>
          </w:p>
        </w:tc>
        <w:tc>
          <w:tcPr>
            <w:tcW w:type="dxa" w:w="1040"/>
            <w:shd w:val="clear" w:color="auto" w:fill="FFF3CD"/>
            <w:vAlign w:val="center"/>
          </w:tcPr>
          <w:p>
            <w:pPr>
              <w:jc w:val="center"/>
            </w:pPr>
            <w:r>
              <w:rPr>
                <w:rFonts w:ascii="Times New Roman" w:hAnsi="Times New Roman"/>
                <w:b w:val="0"/>
                <w:i w:val="0"/>
                <w:sz w:val="18"/>
              </w:rPr>
              <w:t>0.640</w:t>
            </w:r>
          </w:p>
        </w:tc>
        <w:tc>
          <w:tcPr>
            <w:tcW w:type="dxa" w:w="1040"/>
            <w:shd w:val="clear" w:color="auto" w:fill="FFF3CD"/>
            <w:vAlign w:val="center"/>
          </w:tcPr>
          <w:p>
            <w:pPr>
              <w:jc w:val="center"/>
            </w:pPr>
            <w:r>
              <w:rPr>
                <w:rFonts w:ascii="Times New Roman" w:hAnsi="Times New Roman"/>
                <w:b w:val="0"/>
                <w:i w:val="0"/>
                <w:sz w:val="18"/>
              </w:rPr>
              <w:t>TACTICAL</w:t>
            </w:r>
          </w:p>
        </w:tc>
      </w:tr>
      <w:tr>
        <w:tc>
          <w:tcPr>
            <w:tcW w:type="dxa" w:w="1040"/>
            <w:shd w:val="clear" w:color="auto" w:fill="FDECEA"/>
            <w:vAlign w:val="center"/>
          </w:tcPr>
          <w:p>
            <w:pPr>
              <w:jc w:val="left"/>
            </w:pPr>
            <w:r>
              <w:rPr>
                <w:rFonts w:ascii="Times New Roman" w:hAnsi="Times New Roman"/>
                <w:b w:val="0"/>
                <w:i w:val="0"/>
                <w:sz w:val="18"/>
              </w:rPr>
              <w:t>PC2 — distributional shape</w:t>
            </w:r>
          </w:p>
        </w:tc>
        <w:tc>
          <w:tcPr>
            <w:tcW w:type="dxa" w:w="1040"/>
            <w:shd w:val="clear" w:color="auto" w:fill="FDECEA"/>
            <w:vAlign w:val="center"/>
          </w:tcPr>
          <w:p>
            <w:pPr>
              <w:jc w:val="center"/>
            </w:pPr>
            <w:r>
              <w:rPr>
                <w:rFonts w:ascii="Times New Roman" w:hAnsi="Times New Roman"/>
                <w:b w:val="0"/>
                <w:i w:val="0"/>
                <w:sz w:val="18"/>
              </w:rPr>
              <w:t>3</w:t>
            </w:r>
          </w:p>
        </w:tc>
        <w:tc>
          <w:tcPr>
            <w:tcW w:type="dxa" w:w="1040"/>
            <w:shd w:val="clear" w:color="auto" w:fill="FDECEA"/>
            <w:vAlign w:val="center"/>
          </w:tcPr>
          <w:p>
            <w:pPr>
              <w:jc w:val="center"/>
            </w:pPr>
            <w:r>
              <w:rPr>
                <w:rFonts w:ascii="Times New Roman" w:hAnsi="Times New Roman"/>
                <w:b w:val="0"/>
                <w:i w:val="0"/>
                <w:sz w:val="18"/>
              </w:rPr>
              <w:t>5</w:t>
            </w:r>
          </w:p>
        </w:tc>
        <w:tc>
          <w:tcPr>
            <w:tcW w:type="dxa" w:w="1040"/>
            <w:shd w:val="clear" w:color="auto" w:fill="FDECEA"/>
            <w:vAlign w:val="center"/>
          </w:tcPr>
          <w:p>
            <w:pPr>
              <w:jc w:val="center"/>
            </w:pPr>
            <w:r>
              <w:rPr>
                <w:rFonts w:ascii="Times New Roman" w:hAnsi="Times New Roman"/>
                <w:b w:val="0"/>
                <w:i w:val="0"/>
                <w:sz w:val="18"/>
              </w:rPr>
              <w:t>0.1243</w:t>
            </w:r>
          </w:p>
        </w:tc>
        <w:tc>
          <w:tcPr>
            <w:tcW w:type="dxa" w:w="1040"/>
            <w:shd w:val="clear" w:color="auto" w:fill="FDECEA"/>
            <w:vAlign w:val="center"/>
          </w:tcPr>
          <w:p>
            <w:pPr>
              <w:jc w:val="center"/>
            </w:pPr>
            <w:r>
              <w:rPr>
                <w:rFonts w:ascii="Times New Roman" w:hAnsi="Times New Roman"/>
                <w:b w:val="0"/>
                <w:i w:val="0"/>
                <w:sz w:val="18"/>
              </w:rPr>
              <w:t>0.2471</w:t>
            </w:r>
          </w:p>
        </w:tc>
        <w:tc>
          <w:tcPr>
            <w:tcW w:type="dxa" w:w="1040"/>
            <w:shd w:val="clear" w:color="auto" w:fill="FDECEA"/>
            <w:vAlign w:val="center"/>
          </w:tcPr>
          <w:p>
            <w:pPr>
              <w:jc w:val="center"/>
            </w:pPr>
            <w:r>
              <w:rPr>
                <w:rFonts w:ascii="Times New Roman" w:hAnsi="Times New Roman"/>
                <w:b w:val="0"/>
                <w:i w:val="0"/>
                <w:sz w:val="18"/>
              </w:rPr>
              <w:t>−0.1228</w:t>
            </w:r>
          </w:p>
        </w:tc>
        <w:tc>
          <w:tcPr>
            <w:tcW w:type="dxa" w:w="1040"/>
            <w:shd w:val="clear" w:color="auto" w:fill="FDECEA"/>
            <w:vAlign w:val="center"/>
          </w:tcPr>
          <w:p>
            <w:pPr>
              <w:jc w:val="center"/>
            </w:pPr>
            <w:r>
              <w:rPr>
                <w:rFonts w:ascii="Times New Roman" w:hAnsi="Times New Roman"/>
                <w:b w:val="0"/>
                <w:i w:val="0"/>
                <w:sz w:val="18"/>
              </w:rPr>
              <w:t>−0.918</w:t>
            </w:r>
          </w:p>
        </w:tc>
        <w:tc>
          <w:tcPr>
            <w:tcW w:type="dxa" w:w="1040"/>
            <w:shd w:val="clear" w:color="auto" w:fill="FDECEA"/>
            <w:vAlign w:val="center"/>
          </w:tcPr>
          <w:p>
            <w:pPr>
              <w:jc w:val="center"/>
            </w:pPr>
            <w:r>
              <w:rPr>
                <w:rFonts w:ascii="Times New Roman" w:hAnsi="Times New Roman"/>
                <w:b w:val="0"/>
                <w:i w:val="0"/>
                <w:sz w:val="18"/>
              </w:rPr>
              <w:t>0.304</w:t>
            </w:r>
          </w:p>
        </w:tc>
        <w:tc>
          <w:tcPr>
            <w:tcW w:type="dxa" w:w="1040"/>
            <w:shd w:val="clear" w:color="auto" w:fill="FDECEA"/>
            <w:vAlign w:val="center"/>
          </w:tcPr>
          <w:p>
            <w:pPr>
              <w:jc w:val="center"/>
            </w:pPr>
            <w:r>
              <w:rPr>
                <w:rFonts w:ascii="Times New Roman" w:hAnsi="Times New Roman"/>
                <w:b w:val="0"/>
                <w:i w:val="0"/>
                <w:sz w:val="18"/>
              </w:rPr>
              <w:t>INELIGIBLE</w:t>
            </w:r>
          </w:p>
        </w:tc>
      </w:tr>
      <w:tr>
        <w:tc>
          <w:tcPr>
            <w:tcW w:type="dxa" w:w="1040"/>
            <w:shd w:val="clear" w:color="auto" w:fill="FDECEA"/>
            <w:vAlign w:val="center"/>
          </w:tcPr>
          <w:p>
            <w:pPr>
              <w:jc w:val="left"/>
            </w:pPr>
            <w:r>
              <w:rPr>
                <w:rFonts w:ascii="Times New Roman" w:hAnsi="Times New Roman"/>
                <w:b w:val="0"/>
                <w:i w:val="0"/>
                <w:sz w:val="18"/>
              </w:rPr>
              <w:t>q50 median SCI per month</w:t>
            </w:r>
          </w:p>
        </w:tc>
        <w:tc>
          <w:tcPr>
            <w:tcW w:type="dxa" w:w="1040"/>
            <w:shd w:val="clear" w:color="auto" w:fill="FDECEA"/>
            <w:vAlign w:val="center"/>
          </w:tcPr>
          <w:p>
            <w:pPr>
              <w:jc w:val="center"/>
            </w:pPr>
            <w:r>
              <w:rPr>
                <w:rFonts w:ascii="Times New Roman" w:hAnsi="Times New Roman"/>
                <w:b w:val="0"/>
                <w:i w:val="0"/>
                <w:sz w:val="18"/>
              </w:rPr>
              <w:t>3</w:t>
            </w:r>
          </w:p>
        </w:tc>
        <w:tc>
          <w:tcPr>
            <w:tcW w:type="dxa" w:w="1040"/>
            <w:shd w:val="clear" w:color="auto" w:fill="FDECEA"/>
            <w:vAlign w:val="center"/>
          </w:tcPr>
          <w:p>
            <w:pPr>
              <w:jc w:val="center"/>
            </w:pPr>
            <w:r>
              <w:rPr>
                <w:rFonts w:ascii="Times New Roman" w:hAnsi="Times New Roman"/>
                <w:b w:val="0"/>
                <w:i w:val="0"/>
                <w:sz w:val="18"/>
              </w:rPr>
              <w:t>5</w:t>
            </w:r>
          </w:p>
        </w:tc>
        <w:tc>
          <w:tcPr>
            <w:tcW w:type="dxa" w:w="1040"/>
            <w:shd w:val="clear" w:color="auto" w:fill="FDECEA"/>
            <w:vAlign w:val="center"/>
          </w:tcPr>
          <w:p>
            <w:pPr>
              <w:jc w:val="center"/>
            </w:pPr>
            <w:r>
              <w:rPr>
                <w:rFonts w:ascii="Times New Roman" w:hAnsi="Times New Roman"/>
                <w:b w:val="0"/>
                <w:i w:val="0"/>
                <w:sz w:val="18"/>
              </w:rPr>
              <w:t>0.1418</w:t>
            </w:r>
          </w:p>
        </w:tc>
        <w:tc>
          <w:tcPr>
            <w:tcW w:type="dxa" w:w="1040"/>
            <w:shd w:val="clear" w:color="auto" w:fill="FDECEA"/>
            <w:vAlign w:val="center"/>
          </w:tcPr>
          <w:p>
            <w:pPr>
              <w:jc w:val="center"/>
            </w:pPr>
            <w:r>
              <w:rPr>
                <w:rFonts w:ascii="Times New Roman" w:hAnsi="Times New Roman"/>
                <w:b w:val="0"/>
                <w:i w:val="0"/>
                <w:sz w:val="18"/>
              </w:rPr>
              <w:t>0.1894</w:t>
            </w:r>
          </w:p>
        </w:tc>
        <w:tc>
          <w:tcPr>
            <w:tcW w:type="dxa" w:w="1040"/>
            <w:shd w:val="clear" w:color="auto" w:fill="FDECEA"/>
            <w:vAlign w:val="center"/>
          </w:tcPr>
          <w:p>
            <w:pPr>
              <w:jc w:val="center"/>
            </w:pPr>
            <w:r>
              <w:rPr>
                <w:rFonts w:ascii="Times New Roman" w:hAnsi="Times New Roman"/>
                <w:b w:val="0"/>
                <w:i w:val="0"/>
                <w:sz w:val="18"/>
              </w:rPr>
              <w:t>−0.0476</w:t>
            </w:r>
          </w:p>
        </w:tc>
        <w:tc>
          <w:tcPr>
            <w:tcW w:type="dxa" w:w="1040"/>
            <w:shd w:val="clear" w:color="auto" w:fill="FDECEA"/>
            <w:vAlign w:val="center"/>
          </w:tcPr>
          <w:p>
            <w:pPr>
              <w:jc w:val="center"/>
            </w:pPr>
            <w:r>
              <w:rPr>
                <w:rFonts w:ascii="Times New Roman" w:hAnsi="Times New Roman"/>
                <w:b w:val="0"/>
                <w:i w:val="0"/>
                <w:sz w:val="18"/>
              </w:rPr>
              <w:t>−0.388</w:t>
            </w:r>
          </w:p>
        </w:tc>
        <w:tc>
          <w:tcPr>
            <w:tcW w:type="dxa" w:w="1040"/>
            <w:shd w:val="clear" w:color="auto" w:fill="FDECEA"/>
            <w:vAlign w:val="center"/>
          </w:tcPr>
          <w:p>
            <w:pPr>
              <w:jc w:val="center"/>
            </w:pPr>
            <w:r>
              <w:rPr>
                <w:rFonts w:ascii="Times New Roman" w:hAnsi="Times New Roman"/>
                <w:b w:val="0"/>
                <w:i w:val="0"/>
                <w:sz w:val="18"/>
              </w:rPr>
              <w:t>0.414</w:t>
            </w:r>
          </w:p>
        </w:tc>
        <w:tc>
          <w:tcPr>
            <w:tcW w:type="dxa" w:w="1040"/>
            <w:shd w:val="clear" w:color="auto" w:fill="FDECEA"/>
            <w:vAlign w:val="center"/>
          </w:tcPr>
          <w:p>
            <w:pPr>
              <w:jc w:val="center"/>
            </w:pPr>
            <w:r>
              <w:rPr>
                <w:rFonts w:ascii="Times New Roman" w:hAnsi="Times New Roman"/>
                <w:b w:val="0"/>
                <w:i w:val="0"/>
                <w:sz w:val="18"/>
              </w:rPr>
              <w:t>INELIGIBLE</w:t>
            </w:r>
          </w:p>
        </w:tc>
      </w:tr>
      <w:tr>
        <w:tc>
          <w:tcPr>
            <w:tcW w:type="dxa" w:w="1040"/>
            <w:shd w:val="clear" w:color="auto" w:fill="FFF3CD"/>
            <w:vAlign w:val="center"/>
          </w:tcPr>
          <w:p>
            <w:pPr>
              <w:jc w:val="left"/>
            </w:pPr>
            <w:r>
              <w:rPr>
                <w:rFonts w:ascii="Times New Roman" w:hAnsi="Times New Roman"/>
                <w:b w:val="0"/>
                <w:i w:val="0"/>
                <w:sz w:val="18"/>
              </w:rPr>
              <w:t>CORE fraction — shuffled null</w:t>
            </w:r>
          </w:p>
        </w:tc>
        <w:tc>
          <w:tcPr>
            <w:tcW w:type="dxa" w:w="1040"/>
            <w:shd w:val="clear" w:color="auto" w:fill="FFF3CD"/>
            <w:vAlign w:val="center"/>
          </w:tcPr>
          <w:p>
            <w:pPr>
              <w:jc w:val="center"/>
            </w:pPr>
            <w:r>
              <w:rPr>
                <w:rFonts w:ascii="Times New Roman" w:hAnsi="Times New Roman"/>
                <w:b w:val="0"/>
                <w:i w:val="0"/>
                <w:sz w:val="18"/>
              </w:rPr>
              <w:t>3</w:t>
            </w:r>
          </w:p>
        </w:tc>
        <w:tc>
          <w:tcPr>
            <w:tcW w:type="dxa" w:w="1040"/>
            <w:shd w:val="clear" w:color="auto" w:fill="FFF3CD"/>
            <w:vAlign w:val="center"/>
          </w:tcPr>
          <w:p>
            <w:pPr>
              <w:jc w:val="center"/>
            </w:pPr>
            <w:r>
              <w:rPr>
                <w:rFonts w:ascii="Times New Roman" w:hAnsi="Times New Roman"/>
                <w:b w:val="0"/>
                <w:i w:val="0"/>
                <w:sz w:val="18"/>
              </w:rPr>
              <w:t>5</w:t>
            </w:r>
          </w:p>
        </w:tc>
        <w:tc>
          <w:tcPr>
            <w:tcW w:type="dxa" w:w="1040"/>
            <w:shd w:val="clear" w:color="auto" w:fill="FFF3CD"/>
            <w:vAlign w:val="center"/>
          </w:tcPr>
          <w:p>
            <w:pPr>
              <w:jc w:val="center"/>
            </w:pPr>
            <w:r>
              <w:rPr>
                <w:rFonts w:ascii="Times New Roman" w:hAnsi="Times New Roman"/>
                <w:b w:val="0"/>
                <w:i w:val="0"/>
                <w:sz w:val="18"/>
              </w:rPr>
              <w:t>0.2893</w:t>
            </w:r>
          </w:p>
        </w:tc>
        <w:tc>
          <w:tcPr>
            <w:tcW w:type="dxa" w:w="1040"/>
            <w:shd w:val="clear" w:color="auto" w:fill="FFF3CD"/>
            <w:vAlign w:val="center"/>
          </w:tcPr>
          <w:p>
            <w:pPr>
              <w:jc w:val="center"/>
            </w:pPr>
            <w:r>
              <w:rPr>
                <w:rFonts w:ascii="Times New Roman" w:hAnsi="Times New Roman"/>
                <w:b w:val="0"/>
                <w:i w:val="0"/>
                <w:sz w:val="18"/>
              </w:rPr>
              <w:t>0.2336</w:t>
            </w:r>
          </w:p>
        </w:tc>
        <w:tc>
          <w:tcPr>
            <w:tcW w:type="dxa" w:w="1040"/>
            <w:shd w:val="clear" w:color="auto" w:fill="FFF3CD"/>
            <w:vAlign w:val="center"/>
          </w:tcPr>
          <w:p>
            <w:pPr>
              <w:jc w:val="center"/>
            </w:pPr>
            <w:r>
              <w:rPr>
                <w:rFonts w:ascii="Times New Roman" w:hAnsi="Times New Roman"/>
                <w:b w:val="0"/>
                <w:i w:val="0"/>
                <w:sz w:val="18"/>
              </w:rPr>
              <w:t>+0.0557</w:t>
            </w:r>
          </w:p>
        </w:tc>
        <w:tc>
          <w:tcPr>
            <w:tcW w:type="dxa" w:w="1040"/>
            <w:shd w:val="clear" w:color="auto" w:fill="FFF3CD"/>
            <w:vAlign w:val="center"/>
          </w:tcPr>
          <w:p>
            <w:pPr>
              <w:jc w:val="center"/>
            </w:pPr>
            <w:r>
              <w:rPr>
                <w:rFonts w:ascii="Times New Roman" w:hAnsi="Times New Roman"/>
                <w:b w:val="0"/>
                <w:i w:val="0"/>
                <w:sz w:val="18"/>
              </w:rPr>
              <w:t>+0.440</w:t>
            </w:r>
          </w:p>
        </w:tc>
        <w:tc>
          <w:tcPr>
            <w:tcW w:type="dxa" w:w="1040"/>
            <w:shd w:val="clear" w:color="auto" w:fill="FFF3CD"/>
            <w:vAlign w:val="center"/>
          </w:tcPr>
          <w:p>
            <w:pPr>
              <w:jc w:val="center"/>
            </w:pPr>
            <w:r>
              <w:rPr>
                <w:rFonts w:ascii="Times New Roman" w:hAnsi="Times New Roman"/>
                <w:b w:val="0"/>
                <w:i w:val="0"/>
                <w:sz w:val="18"/>
              </w:rPr>
              <w:t>0.598</w:t>
            </w:r>
          </w:p>
        </w:tc>
        <w:tc>
          <w:tcPr>
            <w:tcW w:type="dxa" w:w="1040"/>
            <w:shd w:val="clear" w:color="auto" w:fill="FFF3CD"/>
            <w:vAlign w:val="center"/>
          </w:tcPr>
          <w:p>
            <w:pPr>
              <w:jc w:val="center"/>
            </w:pPr>
            <w:r>
              <w:rPr>
                <w:rFonts w:ascii="Times New Roman" w:hAnsi="Times New Roman"/>
                <w:b w:val="0"/>
                <w:i w:val="0"/>
                <w:sz w:val="18"/>
              </w:rPr>
              <w:t>TACTICAL</w:t>
            </w:r>
          </w:p>
        </w:tc>
      </w:tr>
      <w:tr>
        <w:tc>
          <w:tcPr>
            <w:tcW w:type="dxa" w:w="1040"/>
            <w:shd w:val="clear" w:color="auto" w:fill="FDECEA"/>
            <w:vAlign w:val="center"/>
          </w:tcPr>
          <w:p>
            <w:pPr>
              <w:jc w:val="left"/>
            </w:pPr>
            <w:r>
              <w:rPr>
                <w:rFonts w:ascii="Times New Roman" w:hAnsi="Times New Roman"/>
                <w:b w:val="0"/>
                <w:i w:val="0"/>
                <w:sz w:val="18"/>
              </w:rPr>
              <w:t>White noise (null)</w:t>
            </w:r>
          </w:p>
        </w:tc>
        <w:tc>
          <w:tcPr>
            <w:tcW w:type="dxa" w:w="1040"/>
            <w:shd w:val="clear" w:color="auto" w:fill="FDECEA"/>
            <w:vAlign w:val="center"/>
          </w:tcPr>
          <w:p>
            <w:pPr>
              <w:jc w:val="center"/>
            </w:pPr>
            <w:r>
              <w:rPr>
                <w:rFonts w:ascii="Times New Roman" w:hAnsi="Times New Roman"/>
                <w:b w:val="0"/>
                <w:i w:val="0"/>
                <w:sz w:val="18"/>
              </w:rPr>
              <w:t>3</w:t>
            </w:r>
          </w:p>
        </w:tc>
        <w:tc>
          <w:tcPr>
            <w:tcW w:type="dxa" w:w="1040"/>
            <w:shd w:val="clear" w:color="auto" w:fill="FDECEA"/>
            <w:vAlign w:val="center"/>
          </w:tcPr>
          <w:p>
            <w:pPr>
              <w:jc w:val="center"/>
            </w:pPr>
            <w:r>
              <w:rPr>
                <w:rFonts w:ascii="Times New Roman" w:hAnsi="Times New Roman"/>
                <w:b w:val="0"/>
                <w:i w:val="0"/>
                <w:sz w:val="18"/>
              </w:rPr>
              <w:t>5</w:t>
            </w:r>
          </w:p>
        </w:tc>
        <w:tc>
          <w:tcPr>
            <w:tcW w:type="dxa" w:w="1040"/>
            <w:shd w:val="clear" w:color="auto" w:fill="FDECEA"/>
            <w:vAlign w:val="center"/>
          </w:tcPr>
          <w:p>
            <w:pPr>
              <w:jc w:val="center"/>
            </w:pPr>
            <w:r>
              <w:rPr>
                <w:rFonts w:ascii="Times New Roman" w:hAnsi="Times New Roman"/>
                <w:b w:val="0"/>
                <w:i w:val="0"/>
                <w:sz w:val="18"/>
              </w:rPr>
              <w:t>0.1828</w:t>
            </w:r>
          </w:p>
        </w:tc>
        <w:tc>
          <w:tcPr>
            <w:tcW w:type="dxa" w:w="1040"/>
            <w:shd w:val="clear" w:color="auto" w:fill="FDECEA"/>
            <w:vAlign w:val="center"/>
          </w:tcPr>
          <w:p>
            <w:pPr>
              <w:jc w:val="center"/>
            </w:pPr>
            <w:r>
              <w:rPr>
                <w:rFonts w:ascii="Times New Roman" w:hAnsi="Times New Roman"/>
                <w:b w:val="0"/>
                <w:i w:val="0"/>
                <w:sz w:val="18"/>
              </w:rPr>
              <w:t>0.1878</w:t>
            </w:r>
          </w:p>
        </w:tc>
        <w:tc>
          <w:tcPr>
            <w:tcW w:type="dxa" w:w="1040"/>
            <w:shd w:val="clear" w:color="auto" w:fill="FDECEA"/>
            <w:vAlign w:val="center"/>
          </w:tcPr>
          <w:p>
            <w:pPr>
              <w:jc w:val="center"/>
            </w:pPr>
            <w:r>
              <w:rPr>
                <w:rFonts w:ascii="Times New Roman" w:hAnsi="Times New Roman"/>
                <w:b w:val="0"/>
                <w:i w:val="0"/>
                <w:sz w:val="18"/>
              </w:rPr>
              <w:t>−0.0051</w:t>
            </w:r>
          </w:p>
        </w:tc>
        <w:tc>
          <w:tcPr>
            <w:tcW w:type="dxa" w:w="1040"/>
            <w:shd w:val="clear" w:color="auto" w:fill="FDECEA"/>
            <w:vAlign w:val="center"/>
          </w:tcPr>
          <w:p>
            <w:pPr>
              <w:jc w:val="center"/>
            </w:pPr>
            <w:r>
              <w:rPr>
                <w:rFonts w:ascii="Times New Roman" w:hAnsi="Times New Roman"/>
                <w:b w:val="0"/>
                <w:i w:val="0"/>
                <w:sz w:val="18"/>
              </w:rPr>
              <w:t>−0.040</w:t>
            </w:r>
          </w:p>
        </w:tc>
        <w:tc>
          <w:tcPr>
            <w:tcW w:type="dxa" w:w="1040"/>
            <w:shd w:val="clear" w:color="auto" w:fill="FDECEA"/>
            <w:vAlign w:val="center"/>
          </w:tcPr>
          <w:p>
            <w:pPr>
              <w:jc w:val="center"/>
            </w:pPr>
            <w:r>
              <w:rPr>
                <w:rFonts w:ascii="Times New Roman" w:hAnsi="Times New Roman"/>
                <w:b w:val="0"/>
                <w:i w:val="0"/>
                <w:sz w:val="18"/>
              </w:rPr>
              <w:t>0.491</w:t>
            </w:r>
          </w:p>
        </w:tc>
        <w:tc>
          <w:tcPr>
            <w:tcW w:type="dxa" w:w="1040"/>
            <w:shd w:val="clear" w:color="auto" w:fill="FDECEA"/>
            <w:vAlign w:val="center"/>
          </w:tcPr>
          <w:p>
            <w:pPr>
              <w:jc w:val="center"/>
            </w:pPr>
            <w:r>
              <w:rPr>
                <w:rFonts w:ascii="Times New Roman" w:hAnsi="Times New Roman"/>
                <w:b w:val="0"/>
                <w:i w:val="0"/>
                <w:sz w:val="18"/>
              </w:rPr>
              <w:t>INELIGIBLE</w:t>
            </w:r>
          </w:p>
        </w:tc>
      </w:tr>
      <w:tr>
        <w:tc>
          <w:tcPr>
            <w:tcW w:type="dxa" w:w="1040"/>
            <w:shd w:val="clear" w:color="auto" w:fill="FDECEA"/>
            <w:vAlign w:val="center"/>
          </w:tcPr>
          <w:p>
            <w:pPr>
              <w:jc w:val="left"/>
            </w:pPr>
            <w:r>
              <w:rPr>
                <w:rFonts w:ascii="Times New Roman" w:hAnsi="Times New Roman"/>
                <w:b w:val="0"/>
                <w:i w:val="0"/>
                <w:sz w:val="18"/>
              </w:rPr>
              <w:t>Random walk (null)</w:t>
            </w:r>
          </w:p>
        </w:tc>
        <w:tc>
          <w:tcPr>
            <w:tcW w:type="dxa" w:w="1040"/>
            <w:shd w:val="clear" w:color="auto" w:fill="FDECEA"/>
            <w:vAlign w:val="center"/>
          </w:tcPr>
          <w:p>
            <w:pPr>
              <w:jc w:val="center"/>
            </w:pPr>
            <w:r>
              <w:rPr>
                <w:rFonts w:ascii="Times New Roman" w:hAnsi="Times New Roman"/>
                <w:b w:val="0"/>
                <w:i w:val="0"/>
                <w:sz w:val="18"/>
              </w:rPr>
              <w:t>3</w:t>
            </w:r>
          </w:p>
        </w:tc>
        <w:tc>
          <w:tcPr>
            <w:tcW w:type="dxa" w:w="1040"/>
            <w:shd w:val="clear" w:color="auto" w:fill="FDECEA"/>
            <w:vAlign w:val="center"/>
          </w:tcPr>
          <w:p>
            <w:pPr>
              <w:jc w:val="center"/>
            </w:pPr>
            <w:r>
              <w:rPr>
                <w:rFonts w:ascii="Times New Roman" w:hAnsi="Times New Roman"/>
                <w:b w:val="0"/>
                <w:i w:val="0"/>
                <w:sz w:val="18"/>
              </w:rPr>
              <w:t>5</w:t>
            </w:r>
          </w:p>
        </w:tc>
        <w:tc>
          <w:tcPr>
            <w:tcW w:type="dxa" w:w="1040"/>
            <w:shd w:val="clear" w:color="auto" w:fill="FDECEA"/>
            <w:vAlign w:val="center"/>
          </w:tcPr>
          <w:p>
            <w:pPr>
              <w:jc w:val="center"/>
            </w:pPr>
            <w:r>
              <w:rPr>
                <w:rFonts w:ascii="Times New Roman" w:hAnsi="Times New Roman"/>
                <w:b w:val="0"/>
                <w:i w:val="0"/>
                <w:sz w:val="18"/>
              </w:rPr>
              <w:t>0.6315</w:t>
            </w:r>
          </w:p>
        </w:tc>
        <w:tc>
          <w:tcPr>
            <w:tcW w:type="dxa" w:w="1040"/>
            <w:shd w:val="clear" w:color="auto" w:fill="FDECEA"/>
            <w:vAlign w:val="center"/>
          </w:tcPr>
          <w:p>
            <w:pPr>
              <w:jc w:val="center"/>
            </w:pPr>
            <w:r>
              <w:rPr>
                <w:rFonts w:ascii="Times New Roman" w:hAnsi="Times New Roman"/>
                <w:b w:val="0"/>
                <w:i w:val="0"/>
                <w:sz w:val="18"/>
              </w:rPr>
              <w:t>0.6414</w:t>
            </w:r>
          </w:p>
        </w:tc>
        <w:tc>
          <w:tcPr>
            <w:tcW w:type="dxa" w:w="1040"/>
            <w:shd w:val="clear" w:color="auto" w:fill="FDECEA"/>
            <w:vAlign w:val="center"/>
          </w:tcPr>
          <w:p>
            <w:pPr>
              <w:jc w:val="center"/>
            </w:pPr>
            <w:r>
              <w:rPr>
                <w:rFonts w:ascii="Times New Roman" w:hAnsi="Times New Roman"/>
                <w:b w:val="0"/>
                <w:i w:val="0"/>
                <w:sz w:val="18"/>
              </w:rPr>
              <w:t>−0.0099</w:t>
            </w:r>
          </w:p>
        </w:tc>
        <w:tc>
          <w:tcPr>
            <w:tcW w:type="dxa" w:w="1040"/>
            <w:shd w:val="clear" w:color="auto" w:fill="FDECEA"/>
            <w:vAlign w:val="center"/>
          </w:tcPr>
          <w:p>
            <w:pPr>
              <w:jc w:val="center"/>
            </w:pPr>
            <w:r>
              <w:rPr>
                <w:rFonts w:ascii="Times New Roman" w:hAnsi="Times New Roman"/>
                <w:b w:val="0"/>
                <w:i w:val="0"/>
                <w:sz w:val="18"/>
              </w:rPr>
              <w:t>−0.164</w:t>
            </w:r>
          </w:p>
        </w:tc>
        <w:tc>
          <w:tcPr>
            <w:tcW w:type="dxa" w:w="1040"/>
            <w:shd w:val="clear" w:color="auto" w:fill="FDECEA"/>
            <w:vAlign w:val="center"/>
          </w:tcPr>
          <w:p>
            <w:pPr>
              <w:jc w:val="center"/>
            </w:pPr>
            <w:r>
              <w:rPr>
                <w:rFonts w:ascii="Times New Roman" w:hAnsi="Times New Roman"/>
                <w:b w:val="0"/>
                <w:i w:val="0"/>
                <w:sz w:val="18"/>
              </w:rPr>
              <w:t>0.463</w:t>
            </w:r>
          </w:p>
        </w:tc>
        <w:tc>
          <w:tcPr>
            <w:tcW w:type="dxa" w:w="1040"/>
            <w:shd w:val="clear" w:color="auto" w:fill="FDECEA"/>
            <w:vAlign w:val="center"/>
          </w:tcPr>
          <w:p>
            <w:pPr>
              <w:jc w:val="center"/>
            </w:pPr>
            <w:r>
              <w:rPr>
                <w:rFonts w:ascii="Times New Roman" w:hAnsi="Times New Roman"/>
                <w:b w:val="0"/>
                <w:i w:val="0"/>
                <w:sz w:val="18"/>
              </w:rPr>
              <w:t>INELIGIBLE</w:t>
            </w:r>
          </w:p>
        </w:tc>
      </w:tr>
    </w:tbl>
    <w:p>
      <w:pPr>
        <w:spacing w:before="80" w:after="200" w:line="360" w:lineRule="exact"/>
        <w:jc w:val="both"/>
      </w:pPr>
      <w:r>
        <w:rPr>
          <w:rFonts w:ascii="Times New Roman" w:hAnsi="Times New Roman"/>
          <w:b w:val="0"/>
          <w:i w:val="0"/>
          <w:sz w:val="24"/>
        </w:rPr>
        <w:t>Table 1. All SCI-of-SCI results (pre-specified parameters W=3, L=5, S=500).</w:t>
      </w:r>
    </w:p>
    <w:p>
      <w:pPr>
        <w:spacing w:before="200" w:after="120"/>
      </w:pPr>
      <w:r>
        <w:rPr>
          <w:rFonts w:ascii="Times New Roman" w:hAnsi="Times New Roman"/>
          <w:b/>
          <w:i w:val="0"/>
          <w:sz w:val="26"/>
        </w:rPr>
        <w:t>2.2 Full Lag Sweep: L=1 Through L=10</w:t>
      </w:r>
    </w:p>
    <w:p>
      <w:pPr>
        <w:spacing w:before="120" w:after="120" w:line="360" w:lineRule="exact"/>
        <w:jc w:val="both"/>
      </w:pPr>
      <w:r>
        <w:rPr>
          <w:rFonts w:ascii="Times New Roman" w:hAnsi="Times New Roman"/>
          <w:b w:val="0"/>
          <w:i w:val="0"/>
          <w:sz w:val="24"/>
        </w:rPr>
        <w:t>The lag sweep reveals the monotonic structure of the failure: the observed envelope autocorrelation (c_obs) is uniformly below the surrogate mean at lags 1–7, crosses at lag 8 (gap≈0), and becomes weakly positive at lags 9–10. No lag produces CORE classification.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vAlign w:val="center"/>
          </w:tcPr>
          <w:p>
            <w:pPr>
              <w:jc w:val="center"/>
            </w:pPr>
            <w:r>
              <w:rPr>
                <w:rFonts w:ascii="Times New Roman" w:hAnsi="Times New Roman"/>
                <w:b/>
                <w:i w:val="0"/>
                <w:color w:val="FFFFFF"/>
                <w:sz w:val="18"/>
              </w:rPr>
              <w:t>L</w:t>
            </w:r>
          </w:p>
        </w:tc>
        <w:tc>
          <w:tcPr>
            <w:tcW w:type="dxa" w:w="1560"/>
            <w:shd w:val="clear" w:color="auto" w:fill="2E4057"/>
            <w:vAlign w:val="center"/>
          </w:tcPr>
          <w:p>
            <w:pPr>
              <w:jc w:val="center"/>
            </w:pPr>
            <w:r>
              <w:rPr>
                <w:rFonts w:ascii="Times New Roman" w:hAnsi="Times New Roman"/>
                <w:b/>
                <w:i w:val="0"/>
                <w:color w:val="FFFFFF"/>
                <w:sz w:val="18"/>
              </w:rPr>
              <w:t>c_obs</w:t>
            </w:r>
          </w:p>
        </w:tc>
        <w:tc>
          <w:tcPr>
            <w:tcW w:type="dxa" w:w="1560"/>
            <w:shd w:val="clear" w:color="auto" w:fill="2E4057"/>
            <w:vAlign w:val="center"/>
          </w:tcPr>
          <w:p>
            <w:pPr>
              <w:jc w:val="center"/>
            </w:pPr>
            <w:r>
              <w:rPr>
                <w:rFonts w:ascii="Times New Roman" w:hAnsi="Times New Roman"/>
                <w:b/>
                <w:i w:val="0"/>
                <w:color w:val="FFFFFF"/>
                <w:sz w:val="18"/>
              </w:rPr>
              <w:t>c_surr</w:t>
            </w:r>
          </w:p>
        </w:tc>
        <w:tc>
          <w:tcPr>
            <w:tcW w:type="dxa" w:w="1560"/>
            <w:shd w:val="clear" w:color="auto" w:fill="2E4057"/>
            <w:vAlign w:val="center"/>
          </w:tcPr>
          <w:p>
            <w:pPr>
              <w:jc w:val="center"/>
            </w:pPr>
            <w:r>
              <w:rPr>
                <w:rFonts w:ascii="Times New Roman" w:hAnsi="Times New Roman"/>
                <w:b/>
                <w:i w:val="0"/>
                <w:color w:val="FFFFFF"/>
                <w:sz w:val="18"/>
              </w:rPr>
              <w:t>gap</w:t>
            </w:r>
          </w:p>
        </w:tc>
        <w:tc>
          <w:tcPr>
            <w:tcW w:type="dxa" w:w="1560"/>
            <w:shd w:val="clear" w:color="auto" w:fill="2E4057"/>
            <w:vAlign w:val="center"/>
          </w:tcPr>
          <w:p>
            <w:pPr>
              <w:jc w:val="center"/>
            </w:pPr>
            <w:r>
              <w:rPr>
                <w:rFonts w:ascii="Times New Roman" w:hAnsi="Times New Roman"/>
                <w:b/>
                <w:i w:val="0"/>
                <w:color w:val="FFFFFF"/>
                <w:sz w:val="18"/>
              </w:rPr>
              <w:t>z</w:t>
            </w:r>
          </w:p>
        </w:tc>
        <w:tc>
          <w:tcPr>
            <w:tcW w:type="dxa" w:w="1560"/>
            <w:shd w:val="clear" w:color="auto" w:fill="2E4057"/>
            <w:vAlign w:val="center"/>
          </w:tcPr>
          <w:p>
            <w:pPr>
              <w:jc w:val="center"/>
            </w:pPr>
            <w:r>
              <w:rPr>
                <w:rFonts w:ascii="Times New Roman" w:hAnsi="Times New Roman"/>
                <w:b/>
                <w:i w:val="0"/>
                <w:color w:val="FFFFFF"/>
                <w:sz w:val="18"/>
              </w:rPr>
              <w:t>SCI [bucket]</w:t>
            </w:r>
          </w:p>
        </w:tc>
      </w:tr>
      <w:tr>
        <w:tc>
          <w:tcPr>
            <w:tcW w:type="dxa" w:w="1560"/>
            <w:shd w:val="clear" w:color="auto" w:fill="FDECEA"/>
            <w:vAlign w:val="center"/>
          </w:tcPr>
          <w:p>
            <w:pPr>
              <w:jc w:val="center"/>
            </w:pPr>
            <w:r>
              <w:rPr>
                <w:rFonts w:ascii="Times New Roman" w:hAnsi="Times New Roman"/>
                <w:b w:val="0"/>
                <w:i w:val="0"/>
                <w:sz w:val="18"/>
              </w:rPr>
              <w:t>1</w:t>
            </w:r>
          </w:p>
        </w:tc>
        <w:tc>
          <w:tcPr>
            <w:tcW w:type="dxa" w:w="1560"/>
            <w:shd w:val="clear" w:color="auto" w:fill="FDECEA"/>
            <w:vAlign w:val="center"/>
          </w:tcPr>
          <w:p>
            <w:pPr>
              <w:jc w:val="center"/>
            </w:pPr>
            <w:r>
              <w:rPr>
                <w:rFonts w:ascii="Times New Roman" w:hAnsi="Times New Roman"/>
                <w:b w:val="0"/>
                <w:i w:val="0"/>
                <w:sz w:val="18"/>
              </w:rPr>
              <w:t>+0.7223</w:t>
            </w:r>
          </w:p>
        </w:tc>
        <w:tc>
          <w:tcPr>
            <w:tcW w:type="dxa" w:w="1560"/>
            <w:shd w:val="clear" w:color="auto" w:fill="FDECEA"/>
            <w:vAlign w:val="center"/>
          </w:tcPr>
          <w:p>
            <w:pPr>
              <w:jc w:val="center"/>
            </w:pPr>
            <w:r>
              <w:rPr>
                <w:rFonts w:ascii="Times New Roman" w:hAnsi="Times New Roman"/>
                <w:b w:val="0"/>
                <w:i w:val="0"/>
                <w:sz w:val="18"/>
              </w:rPr>
              <w:t>+0.7583</w:t>
            </w:r>
          </w:p>
        </w:tc>
        <w:tc>
          <w:tcPr>
            <w:tcW w:type="dxa" w:w="1560"/>
            <w:shd w:val="clear" w:color="auto" w:fill="FDECEA"/>
            <w:vAlign w:val="center"/>
          </w:tcPr>
          <w:p>
            <w:pPr>
              <w:jc w:val="center"/>
            </w:pPr>
            <w:r>
              <w:rPr>
                <w:rFonts w:ascii="Times New Roman" w:hAnsi="Times New Roman"/>
                <w:b w:val="0"/>
                <w:i w:val="0"/>
                <w:sz w:val="18"/>
              </w:rPr>
              <w:t>−0.0360</w:t>
            </w:r>
          </w:p>
        </w:tc>
        <w:tc>
          <w:tcPr>
            <w:tcW w:type="dxa" w:w="1560"/>
            <w:shd w:val="clear" w:color="auto" w:fill="FDECEA"/>
            <w:vAlign w:val="center"/>
          </w:tcPr>
          <w:p>
            <w:pPr>
              <w:jc w:val="center"/>
            </w:pPr>
            <w:r>
              <w:rPr>
                <w:rFonts w:ascii="Times New Roman" w:hAnsi="Times New Roman"/>
                <w:b w:val="0"/>
                <w:i w:val="0"/>
                <w:sz w:val="18"/>
              </w:rPr>
              <w:t>−0.718</w:t>
            </w:r>
          </w:p>
        </w:tc>
        <w:tc>
          <w:tcPr>
            <w:tcW w:type="dxa" w:w="1560"/>
            <w:shd w:val="clear" w:color="auto" w:fill="FDECEA"/>
            <w:vAlign w:val="center"/>
          </w:tcPr>
          <w:p>
            <w:pPr>
              <w:jc w:val="center"/>
            </w:pPr>
            <w:r>
              <w:rPr>
                <w:rFonts w:ascii="Times New Roman" w:hAnsi="Times New Roman"/>
                <w:b w:val="0"/>
                <w:i w:val="0"/>
                <w:sz w:val="18"/>
              </w:rPr>
              <w:t>0.344 [INELIGIBLE]</w:t>
            </w:r>
          </w:p>
        </w:tc>
      </w:tr>
      <w:tr>
        <w:tc>
          <w:tcPr>
            <w:tcW w:type="dxa" w:w="1560"/>
            <w:shd w:val="clear" w:color="auto" w:fill="FDECEA"/>
            <w:vAlign w:val="center"/>
          </w:tcPr>
          <w:p>
            <w:pPr>
              <w:jc w:val="center"/>
            </w:pPr>
            <w:r>
              <w:rPr>
                <w:rFonts w:ascii="Times New Roman" w:hAnsi="Times New Roman"/>
                <w:b w:val="0"/>
                <w:i w:val="0"/>
                <w:sz w:val="18"/>
              </w:rPr>
              <w:t>2</w:t>
            </w:r>
          </w:p>
        </w:tc>
        <w:tc>
          <w:tcPr>
            <w:tcW w:type="dxa" w:w="1560"/>
            <w:shd w:val="clear" w:color="auto" w:fill="FDECEA"/>
            <w:vAlign w:val="center"/>
          </w:tcPr>
          <w:p>
            <w:pPr>
              <w:jc w:val="center"/>
            </w:pPr>
            <w:r>
              <w:rPr>
                <w:rFonts w:ascii="Times New Roman" w:hAnsi="Times New Roman"/>
                <w:b w:val="0"/>
                <w:i w:val="0"/>
                <w:sz w:val="18"/>
              </w:rPr>
              <w:t>+0.4860</w:t>
            </w:r>
          </w:p>
        </w:tc>
        <w:tc>
          <w:tcPr>
            <w:tcW w:type="dxa" w:w="1560"/>
            <w:shd w:val="clear" w:color="auto" w:fill="FDECEA"/>
            <w:vAlign w:val="center"/>
          </w:tcPr>
          <w:p>
            <w:pPr>
              <w:jc w:val="center"/>
            </w:pPr>
            <w:r>
              <w:rPr>
                <w:rFonts w:ascii="Times New Roman" w:hAnsi="Times New Roman"/>
                <w:b w:val="0"/>
                <w:i w:val="0"/>
                <w:sz w:val="18"/>
              </w:rPr>
              <w:t>+0.5518</w:t>
            </w:r>
          </w:p>
        </w:tc>
        <w:tc>
          <w:tcPr>
            <w:tcW w:type="dxa" w:w="1560"/>
            <w:shd w:val="clear" w:color="auto" w:fill="FDECEA"/>
            <w:vAlign w:val="center"/>
          </w:tcPr>
          <w:p>
            <w:pPr>
              <w:jc w:val="center"/>
            </w:pPr>
            <w:r>
              <w:rPr>
                <w:rFonts w:ascii="Times New Roman" w:hAnsi="Times New Roman"/>
                <w:b w:val="0"/>
                <w:i w:val="0"/>
                <w:sz w:val="18"/>
              </w:rPr>
              <w:t>−0.0658</w:t>
            </w:r>
          </w:p>
        </w:tc>
        <w:tc>
          <w:tcPr>
            <w:tcW w:type="dxa" w:w="1560"/>
            <w:shd w:val="clear" w:color="auto" w:fill="FDECEA"/>
            <w:vAlign w:val="center"/>
          </w:tcPr>
          <w:p>
            <w:pPr>
              <w:jc w:val="center"/>
            </w:pPr>
            <w:r>
              <w:rPr>
                <w:rFonts w:ascii="Times New Roman" w:hAnsi="Times New Roman"/>
                <w:b w:val="0"/>
                <w:i w:val="0"/>
                <w:sz w:val="18"/>
              </w:rPr>
              <w:t>−0.749</w:t>
            </w:r>
          </w:p>
        </w:tc>
        <w:tc>
          <w:tcPr>
            <w:tcW w:type="dxa" w:w="1560"/>
            <w:shd w:val="clear" w:color="auto" w:fill="FDECEA"/>
            <w:vAlign w:val="center"/>
          </w:tcPr>
          <w:p>
            <w:pPr>
              <w:jc w:val="center"/>
            </w:pPr>
            <w:r>
              <w:rPr>
                <w:rFonts w:ascii="Times New Roman" w:hAnsi="Times New Roman"/>
                <w:b w:val="0"/>
                <w:i w:val="0"/>
                <w:sz w:val="18"/>
              </w:rPr>
              <w:t>0.338 [INELIGIBLE]</w:t>
            </w:r>
          </w:p>
        </w:tc>
      </w:tr>
      <w:tr>
        <w:tc>
          <w:tcPr>
            <w:tcW w:type="dxa" w:w="1560"/>
            <w:shd w:val="clear" w:color="auto" w:fill="FDECEA"/>
            <w:vAlign w:val="center"/>
          </w:tcPr>
          <w:p>
            <w:pPr>
              <w:jc w:val="center"/>
            </w:pPr>
            <w:r>
              <w:rPr>
                <w:rFonts w:ascii="Times New Roman" w:hAnsi="Times New Roman"/>
                <w:b w:val="0"/>
                <w:i w:val="0"/>
                <w:sz w:val="18"/>
              </w:rPr>
              <w:t>3</w:t>
            </w:r>
          </w:p>
        </w:tc>
        <w:tc>
          <w:tcPr>
            <w:tcW w:type="dxa" w:w="1560"/>
            <w:shd w:val="clear" w:color="auto" w:fill="FDECEA"/>
            <w:vAlign w:val="center"/>
          </w:tcPr>
          <w:p>
            <w:pPr>
              <w:jc w:val="center"/>
            </w:pPr>
            <w:r>
              <w:rPr>
                <w:rFonts w:ascii="Times New Roman" w:hAnsi="Times New Roman"/>
                <w:b w:val="0"/>
                <w:i w:val="0"/>
                <w:sz w:val="18"/>
              </w:rPr>
              <w:t>+0.2958</w:t>
            </w:r>
          </w:p>
        </w:tc>
        <w:tc>
          <w:tcPr>
            <w:tcW w:type="dxa" w:w="1560"/>
            <w:shd w:val="clear" w:color="auto" w:fill="FDECEA"/>
            <w:vAlign w:val="center"/>
          </w:tcPr>
          <w:p>
            <w:pPr>
              <w:jc w:val="center"/>
            </w:pPr>
            <w:r>
              <w:rPr>
                <w:rFonts w:ascii="Times New Roman" w:hAnsi="Times New Roman"/>
                <w:b w:val="0"/>
                <w:i w:val="0"/>
                <w:sz w:val="18"/>
              </w:rPr>
              <w:t>+0.3815</w:t>
            </w:r>
          </w:p>
        </w:tc>
        <w:tc>
          <w:tcPr>
            <w:tcW w:type="dxa" w:w="1560"/>
            <w:shd w:val="clear" w:color="auto" w:fill="FDECEA"/>
            <w:vAlign w:val="center"/>
          </w:tcPr>
          <w:p>
            <w:pPr>
              <w:jc w:val="center"/>
            </w:pPr>
            <w:r>
              <w:rPr>
                <w:rFonts w:ascii="Times New Roman" w:hAnsi="Times New Roman"/>
                <w:b w:val="0"/>
                <w:i w:val="0"/>
                <w:sz w:val="18"/>
              </w:rPr>
              <w:t>−0.0857</w:t>
            </w:r>
          </w:p>
        </w:tc>
        <w:tc>
          <w:tcPr>
            <w:tcW w:type="dxa" w:w="1560"/>
            <w:shd w:val="clear" w:color="auto" w:fill="FDECEA"/>
            <w:vAlign w:val="center"/>
          </w:tcPr>
          <w:p>
            <w:pPr>
              <w:jc w:val="center"/>
            </w:pPr>
            <w:r>
              <w:rPr>
                <w:rFonts w:ascii="Times New Roman" w:hAnsi="Times New Roman"/>
                <w:b w:val="0"/>
                <w:i w:val="0"/>
                <w:sz w:val="18"/>
              </w:rPr>
              <w:t>−0.742</w:t>
            </w:r>
          </w:p>
        </w:tc>
        <w:tc>
          <w:tcPr>
            <w:tcW w:type="dxa" w:w="1560"/>
            <w:shd w:val="clear" w:color="auto" w:fill="FDECEA"/>
            <w:vAlign w:val="center"/>
          </w:tcPr>
          <w:p>
            <w:pPr>
              <w:jc w:val="center"/>
            </w:pPr>
            <w:r>
              <w:rPr>
                <w:rFonts w:ascii="Times New Roman" w:hAnsi="Times New Roman"/>
                <w:b w:val="0"/>
                <w:i w:val="0"/>
                <w:sz w:val="18"/>
              </w:rPr>
              <w:t>0.339 [INELIGIBLE]</w:t>
            </w:r>
          </w:p>
        </w:tc>
      </w:tr>
      <w:tr>
        <w:tc>
          <w:tcPr>
            <w:tcW w:type="dxa" w:w="1560"/>
            <w:shd w:val="clear" w:color="auto" w:fill="FDECEA"/>
            <w:vAlign w:val="center"/>
          </w:tcPr>
          <w:p>
            <w:pPr>
              <w:jc w:val="center"/>
            </w:pPr>
            <w:r>
              <w:rPr>
                <w:rFonts w:ascii="Times New Roman" w:hAnsi="Times New Roman"/>
                <w:b w:val="0"/>
                <w:i w:val="0"/>
                <w:sz w:val="18"/>
              </w:rPr>
              <w:t>4</w:t>
            </w:r>
          </w:p>
        </w:tc>
        <w:tc>
          <w:tcPr>
            <w:tcW w:type="dxa" w:w="1560"/>
            <w:shd w:val="clear" w:color="auto" w:fill="FDECEA"/>
            <w:vAlign w:val="center"/>
          </w:tcPr>
          <w:p>
            <w:pPr>
              <w:jc w:val="center"/>
            </w:pPr>
            <w:r>
              <w:rPr>
                <w:rFonts w:ascii="Times New Roman" w:hAnsi="Times New Roman"/>
                <w:b w:val="0"/>
                <w:i w:val="0"/>
                <w:sz w:val="18"/>
              </w:rPr>
              <w:t>+0.1735</w:t>
            </w:r>
          </w:p>
        </w:tc>
        <w:tc>
          <w:tcPr>
            <w:tcW w:type="dxa" w:w="1560"/>
            <w:shd w:val="clear" w:color="auto" w:fill="FDECEA"/>
            <w:vAlign w:val="center"/>
          </w:tcPr>
          <w:p>
            <w:pPr>
              <w:jc w:val="center"/>
            </w:pPr>
            <w:r>
              <w:rPr>
                <w:rFonts w:ascii="Times New Roman" w:hAnsi="Times New Roman"/>
                <w:b w:val="0"/>
                <w:i w:val="0"/>
                <w:sz w:val="18"/>
              </w:rPr>
              <w:t>+0.2693</w:t>
            </w:r>
          </w:p>
        </w:tc>
        <w:tc>
          <w:tcPr>
            <w:tcW w:type="dxa" w:w="1560"/>
            <w:shd w:val="clear" w:color="auto" w:fill="FDECEA"/>
            <w:vAlign w:val="center"/>
          </w:tcPr>
          <w:p>
            <w:pPr>
              <w:jc w:val="center"/>
            </w:pPr>
            <w:r>
              <w:rPr>
                <w:rFonts w:ascii="Times New Roman" w:hAnsi="Times New Roman"/>
                <w:b w:val="0"/>
                <w:i w:val="0"/>
                <w:sz w:val="18"/>
              </w:rPr>
              <w:t>−0.0957</w:t>
            </w:r>
          </w:p>
        </w:tc>
        <w:tc>
          <w:tcPr>
            <w:tcW w:type="dxa" w:w="1560"/>
            <w:shd w:val="clear" w:color="auto" w:fill="FDECEA"/>
            <w:vAlign w:val="center"/>
          </w:tcPr>
          <w:p>
            <w:pPr>
              <w:jc w:val="center"/>
            </w:pPr>
            <w:r>
              <w:rPr>
                <w:rFonts w:ascii="Times New Roman" w:hAnsi="Times New Roman"/>
                <w:b w:val="0"/>
                <w:i w:val="0"/>
                <w:sz w:val="18"/>
              </w:rPr>
              <w:t>−0.722</w:t>
            </w:r>
          </w:p>
        </w:tc>
        <w:tc>
          <w:tcPr>
            <w:tcW w:type="dxa" w:w="1560"/>
            <w:shd w:val="clear" w:color="auto" w:fill="FDECEA"/>
            <w:vAlign w:val="center"/>
          </w:tcPr>
          <w:p>
            <w:pPr>
              <w:jc w:val="center"/>
            </w:pPr>
            <w:r>
              <w:rPr>
                <w:rFonts w:ascii="Times New Roman" w:hAnsi="Times New Roman"/>
                <w:b w:val="0"/>
                <w:i w:val="0"/>
                <w:sz w:val="18"/>
              </w:rPr>
              <w:t>0.343 [INELIGIBLE]</w:t>
            </w:r>
          </w:p>
        </w:tc>
      </w:tr>
      <w:tr>
        <w:tc>
          <w:tcPr>
            <w:tcW w:type="dxa" w:w="1560"/>
            <w:shd w:val="clear" w:color="auto" w:fill="FDECEA"/>
            <w:vAlign w:val="center"/>
          </w:tcPr>
          <w:p>
            <w:pPr>
              <w:jc w:val="center"/>
            </w:pPr>
            <w:r>
              <w:rPr>
                <w:rFonts w:ascii="Times New Roman" w:hAnsi="Times New Roman"/>
                <w:b w:val="0"/>
                <w:i w:val="0"/>
                <w:sz w:val="18"/>
              </w:rPr>
              <w:t>5*</w:t>
            </w:r>
          </w:p>
        </w:tc>
        <w:tc>
          <w:tcPr>
            <w:tcW w:type="dxa" w:w="1560"/>
            <w:shd w:val="clear" w:color="auto" w:fill="FDECEA"/>
            <w:vAlign w:val="center"/>
          </w:tcPr>
          <w:p>
            <w:pPr>
              <w:jc w:val="center"/>
            </w:pPr>
            <w:r>
              <w:rPr>
                <w:rFonts w:ascii="Times New Roman" w:hAnsi="Times New Roman"/>
                <w:b w:val="0"/>
                <w:i w:val="0"/>
                <w:sz w:val="18"/>
              </w:rPr>
              <w:t>+0.1050</w:t>
            </w:r>
          </w:p>
        </w:tc>
        <w:tc>
          <w:tcPr>
            <w:tcW w:type="dxa" w:w="1560"/>
            <w:shd w:val="clear" w:color="auto" w:fill="FDECEA"/>
            <w:vAlign w:val="center"/>
          </w:tcPr>
          <w:p>
            <w:pPr>
              <w:jc w:val="center"/>
            </w:pPr>
            <w:r>
              <w:rPr>
                <w:rFonts w:ascii="Times New Roman" w:hAnsi="Times New Roman"/>
                <w:b w:val="0"/>
                <w:i w:val="0"/>
                <w:sz w:val="18"/>
              </w:rPr>
              <w:t>+0.1974</w:t>
            </w:r>
          </w:p>
        </w:tc>
        <w:tc>
          <w:tcPr>
            <w:tcW w:type="dxa" w:w="1560"/>
            <w:shd w:val="clear" w:color="auto" w:fill="FDECEA"/>
            <w:vAlign w:val="center"/>
          </w:tcPr>
          <w:p>
            <w:pPr>
              <w:jc w:val="center"/>
            </w:pPr>
            <w:r>
              <w:rPr>
                <w:rFonts w:ascii="Times New Roman" w:hAnsi="Times New Roman"/>
                <w:b w:val="0"/>
                <w:i w:val="0"/>
                <w:sz w:val="18"/>
              </w:rPr>
              <w:t>−0.0924</w:t>
            </w:r>
          </w:p>
        </w:tc>
        <w:tc>
          <w:tcPr>
            <w:tcW w:type="dxa" w:w="1560"/>
            <w:shd w:val="clear" w:color="auto" w:fill="FDECEA"/>
            <w:vAlign w:val="center"/>
          </w:tcPr>
          <w:p>
            <w:pPr>
              <w:jc w:val="center"/>
            </w:pPr>
            <w:r>
              <w:rPr>
                <w:rFonts w:ascii="Times New Roman" w:hAnsi="Times New Roman"/>
                <w:b w:val="0"/>
                <w:i w:val="0"/>
                <w:sz w:val="18"/>
              </w:rPr>
              <w:t>−0.652</w:t>
            </w:r>
          </w:p>
        </w:tc>
        <w:tc>
          <w:tcPr>
            <w:tcW w:type="dxa" w:w="1560"/>
            <w:shd w:val="clear" w:color="auto" w:fill="FDECEA"/>
            <w:vAlign w:val="center"/>
          </w:tcPr>
          <w:p>
            <w:pPr>
              <w:jc w:val="center"/>
            </w:pPr>
            <w:r>
              <w:rPr>
                <w:rFonts w:ascii="Times New Roman" w:hAnsi="Times New Roman"/>
                <w:b w:val="0"/>
                <w:i w:val="0"/>
                <w:sz w:val="18"/>
              </w:rPr>
              <w:t>0.357 [INELIGIBLE]</w:t>
            </w:r>
          </w:p>
        </w:tc>
      </w:tr>
      <w:tr>
        <w:tc>
          <w:tcPr>
            <w:tcW w:type="dxa" w:w="1560"/>
            <w:shd w:val="clear" w:color="auto" w:fill="FDECEA"/>
            <w:vAlign w:val="center"/>
          </w:tcPr>
          <w:p>
            <w:pPr>
              <w:jc w:val="center"/>
            </w:pPr>
            <w:r>
              <w:rPr>
                <w:rFonts w:ascii="Times New Roman" w:hAnsi="Times New Roman"/>
                <w:b w:val="0"/>
                <w:i w:val="0"/>
                <w:sz w:val="18"/>
              </w:rPr>
              <w:t>6</w:t>
            </w:r>
          </w:p>
        </w:tc>
        <w:tc>
          <w:tcPr>
            <w:tcW w:type="dxa" w:w="1560"/>
            <w:shd w:val="clear" w:color="auto" w:fill="FDECEA"/>
            <w:vAlign w:val="center"/>
          </w:tcPr>
          <w:p>
            <w:pPr>
              <w:jc w:val="center"/>
            </w:pPr>
            <w:r>
              <w:rPr>
                <w:rFonts w:ascii="Times New Roman" w:hAnsi="Times New Roman"/>
                <w:b w:val="0"/>
                <w:i w:val="0"/>
                <w:sz w:val="18"/>
              </w:rPr>
              <w:t>+0.0796</w:t>
            </w:r>
          </w:p>
        </w:tc>
        <w:tc>
          <w:tcPr>
            <w:tcW w:type="dxa" w:w="1560"/>
            <w:shd w:val="clear" w:color="auto" w:fill="FDECEA"/>
            <w:vAlign w:val="center"/>
          </w:tcPr>
          <w:p>
            <w:pPr>
              <w:jc w:val="center"/>
            </w:pPr>
            <w:r>
              <w:rPr>
                <w:rFonts w:ascii="Times New Roman" w:hAnsi="Times New Roman"/>
                <w:b w:val="0"/>
                <w:i w:val="0"/>
                <w:sz w:val="18"/>
              </w:rPr>
              <w:t>+0.1522</w:t>
            </w:r>
          </w:p>
        </w:tc>
        <w:tc>
          <w:tcPr>
            <w:tcW w:type="dxa" w:w="1560"/>
            <w:shd w:val="clear" w:color="auto" w:fill="FDECEA"/>
            <w:vAlign w:val="center"/>
          </w:tcPr>
          <w:p>
            <w:pPr>
              <w:jc w:val="center"/>
            </w:pPr>
            <w:r>
              <w:rPr>
                <w:rFonts w:ascii="Times New Roman" w:hAnsi="Times New Roman"/>
                <w:b w:val="0"/>
                <w:i w:val="0"/>
                <w:sz w:val="18"/>
              </w:rPr>
              <w:t>−0.0726</w:t>
            </w:r>
          </w:p>
        </w:tc>
        <w:tc>
          <w:tcPr>
            <w:tcW w:type="dxa" w:w="1560"/>
            <w:shd w:val="clear" w:color="auto" w:fill="FDECEA"/>
            <w:vAlign w:val="center"/>
          </w:tcPr>
          <w:p>
            <w:pPr>
              <w:jc w:val="center"/>
            </w:pPr>
            <w:r>
              <w:rPr>
                <w:rFonts w:ascii="Times New Roman" w:hAnsi="Times New Roman"/>
                <w:b w:val="0"/>
                <w:i w:val="0"/>
                <w:sz w:val="18"/>
              </w:rPr>
              <w:t>−0.509</w:t>
            </w:r>
          </w:p>
        </w:tc>
        <w:tc>
          <w:tcPr>
            <w:tcW w:type="dxa" w:w="1560"/>
            <w:shd w:val="clear" w:color="auto" w:fill="FDECEA"/>
            <w:vAlign w:val="center"/>
          </w:tcPr>
          <w:p>
            <w:pPr>
              <w:jc w:val="center"/>
            </w:pPr>
            <w:r>
              <w:rPr>
                <w:rFonts w:ascii="Times New Roman" w:hAnsi="Times New Roman"/>
                <w:b w:val="0"/>
                <w:i w:val="0"/>
                <w:sz w:val="18"/>
              </w:rPr>
              <w:t>0.387 [INELIGIBLE]</w:t>
            </w:r>
          </w:p>
        </w:tc>
      </w:tr>
      <w:tr>
        <w:tc>
          <w:tcPr>
            <w:tcW w:type="dxa" w:w="1560"/>
            <w:shd w:val="clear" w:color="auto" w:fill="FDECEA"/>
            <w:vAlign w:val="center"/>
          </w:tcPr>
          <w:p>
            <w:pPr>
              <w:jc w:val="center"/>
            </w:pPr>
            <w:r>
              <w:rPr>
                <w:rFonts w:ascii="Times New Roman" w:hAnsi="Times New Roman"/>
                <w:b w:val="0"/>
                <w:i w:val="0"/>
                <w:sz w:val="18"/>
              </w:rPr>
              <w:t>7</w:t>
            </w:r>
          </w:p>
        </w:tc>
        <w:tc>
          <w:tcPr>
            <w:tcW w:type="dxa" w:w="1560"/>
            <w:shd w:val="clear" w:color="auto" w:fill="FDECEA"/>
            <w:vAlign w:val="center"/>
          </w:tcPr>
          <w:p>
            <w:pPr>
              <w:jc w:val="center"/>
            </w:pPr>
            <w:r>
              <w:rPr>
                <w:rFonts w:ascii="Times New Roman" w:hAnsi="Times New Roman"/>
                <w:b w:val="0"/>
                <w:i w:val="0"/>
                <w:sz w:val="18"/>
              </w:rPr>
              <w:t>+0.0956</w:t>
            </w:r>
          </w:p>
        </w:tc>
        <w:tc>
          <w:tcPr>
            <w:tcW w:type="dxa" w:w="1560"/>
            <w:shd w:val="clear" w:color="auto" w:fill="FDECEA"/>
            <w:vAlign w:val="center"/>
          </w:tcPr>
          <w:p>
            <w:pPr>
              <w:jc w:val="center"/>
            </w:pPr>
            <w:r>
              <w:rPr>
                <w:rFonts w:ascii="Times New Roman" w:hAnsi="Times New Roman"/>
                <w:b w:val="0"/>
                <w:i w:val="0"/>
                <w:sz w:val="18"/>
              </w:rPr>
              <w:t>+0.1324</w:t>
            </w:r>
          </w:p>
        </w:tc>
        <w:tc>
          <w:tcPr>
            <w:tcW w:type="dxa" w:w="1560"/>
            <w:shd w:val="clear" w:color="auto" w:fill="FDECEA"/>
            <w:vAlign w:val="center"/>
          </w:tcPr>
          <w:p>
            <w:pPr>
              <w:jc w:val="center"/>
            </w:pPr>
            <w:r>
              <w:rPr>
                <w:rFonts w:ascii="Times New Roman" w:hAnsi="Times New Roman"/>
                <w:b w:val="0"/>
                <w:i w:val="0"/>
                <w:sz w:val="18"/>
              </w:rPr>
              <w:t>−0.0368</w:t>
            </w:r>
          </w:p>
        </w:tc>
        <w:tc>
          <w:tcPr>
            <w:tcW w:type="dxa" w:w="1560"/>
            <w:shd w:val="clear" w:color="auto" w:fill="FDECEA"/>
            <w:vAlign w:val="center"/>
          </w:tcPr>
          <w:p>
            <w:pPr>
              <w:jc w:val="center"/>
            </w:pPr>
            <w:r>
              <w:rPr>
                <w:rFonts w:ascii="Times New Roman" w:hAnsi="Times New Roman"/>
                <w:b w:val="0"/>
                <w:i w:val="0"/>
                <w:sz w:val="18"/>
              </w:rPr>
              <w:t>−0.269</w:t>
            </w:r>
          </w:p>
        </w:tc>
        <w:tc>
          <w:tcPr>
            <w:tcW w:type="dxa" w:w="1560"/>
            <w:shd w:val="clear" w:color="auto" w:fill="FDECEA"/>
            <w:vAlign w:val="center"/>
          </w:tcPr>
          <w:p>
            <w:pPr>
              <w:jc w:val="center"/>
            </w:pPr>
            <w:r>
              <w:rPr>
                <w:rFonts w:ascii="Times New Roman" w:hAnsi="Times New Roman"/>
                <w:b w:val="0"/>
                <w:i w:val="0"/>
                <w:sz w:val="18"/>
              </w:rPr>
              <w:t>0.440 [INELIGIBLE]</w:t>
            </w:r>
          </w:p>
        </w:tc>
      </w:tr>
      <w:tr>
        <w:tc>
          <w:tcPr>
            <w:tcW w:type="dxa" w:w="1560"/>
            <w:shd w:val="clear" w:color="auto" w:fill="F8F8F8"/>
            <w:vAlign w:val="center"/>
          </w:tcPr>
          <w:p>
            <w:pPr>
              <w:jc w:val="center"/>
            </w:pPr>
            <w:r>
              <w:rPr>
                <w:rFonts w:ascii="Times New Roman" w:hAnsi="Times New Roman"/>
                <w:b w:val="0"/>
                <w:i w:val="0"/>
                <w:sz w:val="18"/>
              </w:rPr>
              <w:t>8</w:t>
            </w:r>
          </w:p>
        </w:tc>
        <w:tc>
          <w:tcPr>
            <w:tcW w:type="dxa" w:w="1560"/>
            <w:shd w:val="clear" w:color="auto" w:fill="F8F8F8"/>
            <w:vAlign w:val="center"/>
          </w:tcPr>
          <w:p>
            <w:pPr>
              <w:jc w:val="center"/>
            </w:pPr>
            <w:r>
              <w:rPr>
                <w:rFonts w:ascii="Times New Roman" w:hAnsi="Times New Roman"/>
                <w:b w:val="0"/>
                <w:i w:val="0"/>
                <w:sz w:val="18"/>
              </w:rPr>
              <w:t>+0.1318</w:t>
            </w:r>
          </w:p>
        </w:tc>
        <w:tc>
          <w:tcPr>
            <w:tcW w:type="dxa" w:w="1560"/>
            <w:shd w:val="clear" w:color="auto" w:fill="F8F8F8"/>
            <w:vAlign w:val="center"/>
          </w:tcPr>
          <w:p>
            <w:pPr>
              <w:jc w:val="center"/>
            </w:pPr>
            <w:r>
              <w:rPr>
                <w:rFonts w:ascii="Times New Roman" w:hAnsi="Times New Roman"/>
                <w:b w:val="0"/>
                <w:i w:val="0"/>
                <w:sz w:val="18"/>
              </w:rPr>
              <w:t>+0.1318</w:t>
            </w:r>
          </w:p>
        </w:tc>
        <w:tc>
          <w:tcPr>
            <w:tcW w:type="dxa" w:w="1560"/>
            <w:shd w:val="clear" w:color="auto" w:fill="F8F8F8"/>
            <w:vAlign w:val="center"/>
          </w:tcPr>
          <w:p>
            <w:pPr>
              <w:jc w:val="center"/>
            </w:pPr>
            <w:r>
              <w:rPr>
                <w:rFonts w:ascii="Times New Roman" w:hAnsi="Times New Roman"/>
                <w:b w:val="0"/>
                <w:i w:val="0"/>
                <w:sz w:val="18"/>
              </w:rPr>
              <w:t xml:space="preserve">  0.0000</w:t>
            </w:r>
          </w:p>
        </w:tc>
        <w:tc>
          <w:tcPr>
            <w:tcW w:type="dxa" w:w="1560"/>
            <w:shd w:val="clear" w:color="auto" w:fill="F8F8F8"/>
            <w:vAlign w:val="center"/>
          </w:tcPr>
          <w:p>
            <w:pPr>
              <w:jc w:val="center"/>
            </w:pPr>
            <w:r>
              <w:rPr>
                <w:rFonts w:ascii="Times New Roman" w:hAnsi="Times New Roman"/>
                <w:b w:val="0"/>
                <w:i w:val="0"/>
                <w:sz w:val="18"/>
              </w:rPr>
              <w:t>+0.000</w:t>
            </w:r>
          </w:p>
        </w:tc>
        <w:tc>
          <w:tcPr>
            <w:tcW w:type="dxa" w:w="1560"/>
            <w:shd w:val="clear" w:color="auto" w:fill="F8F8F8"/>
            <w:vAlign w:val="center"/>
          </w:tcPr>
          <w:p>
            <w:pPr>
              <w:jc w:val="center"/>
            </w:pPr>
            <w:r>
              <w:rPr>
                <w:rFonts w:ascii="Times New Roman" w:hAnsi="Times New Roman"/>
                <w:b w:val="0"/>
                <w:i w:val="0"/>
                <w:sz w:val="18"/>
              </w:rPr>
              <w:t>0.500 [INELIGIBLE]</w:t>
            </w:r>
          </w:p>
        </w:tc>
      </w:tr>
      <w:tr>
        <w:tc>
          <w:tcPr>
            <w:tcW w:type="dxa" w:w="1560"/>
            <w:shd w:val="clear" w:color="auto" w:fill="FFF3CD"/>
            <w:vAlign w:val="center"/>
          </w:tcPr>
          <w:p>
            <w:pPr>
              <w:jc w:val="center"/>
            </w:pPr>
            <w:r>
              <w:rPr>
                <w:rFonts w:ascii="Times New Roman" w:hAnsi="Times New Roman"/>
                <w:b w:val="0"/>
                <w:i w:val="0"/>
                <w:sz w:val="18"/>
              </w:rPr>
              <w:t>9</w:t>
            </w:r>
          </w:p>
        </w:tc>
        <w:tc>
          <w:tcPr>
            <w:tcW w:type="dxa" w:w="1560"/>
            <w:shd w:val="clear" w:color="auto" w:fill="FFF3CD"/>
            <w:vAlign w:val="center"/>
          </w:tcPr>
          <w:p>
            <w:pPr>
              <w:jc w:val="center"/>
            </w:pPr>
            <w:r>
              <w:rPr>
                <w:rFonts w:ascii="Times New Roman" w:hAnsi="Times New Roman"/>
                <w:b w:val="0"/>
                <w:i w:val="0"/>
                <w:sz w:val="18"/>
              </w:rPr>
              <w:t>+0.1599</w:t>
            </w:r>
          </w:p>
        </w:tc>
        <w:tc>
          <w:tcPr>
            <w:tcW w:type="dxa" w:w="1560"/>
            <w:shd w:val="clear" w:color="auto" w:fill="FFF3CD"/>
            <w:vAlign w:val="center"/>
          </w:tcPr>
          <w:p>
            <w:pPr>
              <w:jc w:val="center"/>
            </w:pPr>
            <w:r>
              <w:rPr>
                <w:rFonts w:ascii="Times New Roman" w:hAnsi="Times New Roman"/>
                <w:b w:val="0"/>
                <w:i w:val="0"/>
                <w:sz w:val="18"/>
              </w:rPr>
              <w:t>+0.1356</w:t>
            </w:r>
          </w:p>
        </w:tc>
        <w:tc>
          <w:tcPr>
            <w:tcW w:type="dxa" w:w="1560"/>
            <w:shd w:val="clear" w:color="auto" w:fill="FFF3CD"/>
            <w:vAlign w:val="center"/>
          </w:tcPr>
          <w:p>
            <w:pPr>
              <w:jc w:val="center"/>
            </w:pPr>
            <w:r>
              <w:rPr>
                <w:rFonts w:ascii="Times New Roman" w:hAnsi="Times New Roman"/>
                <w:b w:val="0"/>
                <w:i w:val="0"/>
                <w:sz w:val="18"/>
              </w:rPr>
              <w:t>+0.0243</w:t>
            </w:r>
          </w:p>
        </w:tc>
        <w:tc>
          <w:tcPr>
            <w:tcW w:type="dxa" w:w="1560"/>
            <w:shd w:val="clear" w:color="auto" w:fill="FFF3CD"/>
            <w:vAlign w:val="center"/>
          </w:tcPr>
          <w:p>
            <w:pPr>
              <w:jc w:val="center"/>
            </w:pPr>
            <w:r>
              <w:rPr>
                <w:rFonts w:ascii="Times New Roman" w:hAnsi="Times New Roman"/>
                <w:b w:val="0"/>
                <w:i w:val="0"/>
                <w:sz w:val="18"/>
              </w:rPr>
              <w:t>+0.210</w:t>
            </w:r>
          </w:p>
        </w:tc>
        <w:tc>
          <w:tcPr>
            <w:tcW w:type="dxa" w:w="1560"/>
            <w:shd w:val="clear" w:color="auto" w:fill="FFF3CD"/>
            <w:vAlign w:val="center"/>
          </w:tcPr>
          <w:p>
            <w:pPr>
              <w:jc w:val="center"/>
            </w:pPr>
            <w:r>
              <w:rPr>
                <w:rFonts w:ascii="Times New Roman" w:hAnsi="Times New Roman"/>
                <w:b w:val="0"/>
                <w:i w:val="0"/>
                <w:sz w:val="18"/>
              </w:rPr>
              <w:t>0.547 [INELIGIBLE]</w:t>
            </w:r>
          </w:p>
        </w:tc>
      </w:tr>
      <w:tr>
        <w:tc>
          <w:tcPr>
            <w:tcW w:type="dxa" w:w="1560"/>
            <w:shd w:val="clear" w:color="auto" w:fill="FFF3CD"/>
            <w:vAlign w:val="center"/>
          </w:tcPr>
          <w:p>
            <w:pPr>
              <w:jc w:val="center"/>
            </w:pPr>
            <w:r>
              <w:rPr>
                <w:rFonts w:ascii="Times New Roman" w:hAnsi="Times New Roman"/>
                <w:b w:val="0"/>
                <w:i w:val="0"/>
                <w:sz w:val="18"/>
              </w:rPr>
              <w:t>10</w:t>
            </w:r>
          </w:p>
        </w:tc>
        <w:tc>
          <w:tcPr>
            <w:tcW w:type="dxa" w:w="1560"/>
            <w:shd w:val="clear" w:color="auto" w:fill="FFF3CD"/>
            <w:vAlign w:val="center"/>
          </w:tcPr>
          <w:p>
            <w:pPr>
              <w:jc w:val="center"/>
            </w:pPr>
            <w:r>
              <w:rPr>
                <w:rFonts w:ascii="Times New Roman" w:hAnsi="Times New Roman"/>
                <w:b w:val="0"/>
                <w:i w:val="0"/>
                <w:sz w:val="18"/>
              </w:rPr>
              <w:t>+0.1710</w:t>
            </w:r>
          </w:p>
        </w:tc>
        <w:tc>
          <w:tcPr>
            <w:tcW w:type="dxa" w:w="1560"/>
            <w:shd w:val="clear" w:color="auto" w:fill="FFF3CD"/>
            <w:vAlign w:val="center"/>
          </w:tcPr>
          <w:p>
            <w:pPr>
              <w:jc w:val="center"/>
            </w:pPr>
            <w:r>
              <w:rPr>
                <w:rFonts w:ascii="Times New Roman" w:hAnsi="Times New Roman"/>
                <w:b w:val="0"/>
                <w:i w:val="0"/>
                <w:sz w:val="18"/>
              </w:rPr>
              <w:t>+0.1320</w:t>
            </w:r>
          </w:p>
        </w:tc>
        <w:tc>
          <w:tcPr>
            <w:tcW w:type="dxa" w:w="1560"/>
            <w:shd w:val="clear" w:color="auto" w:fill="FFF3CD"/>
            <w:vAlign w:val="center"/>
          </w:tcPr>
          <w:p>
            <w:pPr>
              <w:jc w:val="center"/>
            </w:pPr>
            <w:r>
              <w:rPr>
                <w:rFonts w:ascii="Times New Roman" w:hAnsi="Times New Roman"/>
                <w:b w:val="0"/>
                <w:i w:val="0"/>
                <w:sz w:val="18"/>
              </w:rPr>
              <w:t>+0.0390</w:t>
            </w:r>
          </w:p>
        </w:tc>
        <w:tc>
          <w:tcPr>
            <w:tcW w:type="dxa" w:w="1560"/>
            <w:shd w:val="clear" w:color="auto" w:fill="FFF3CD"/>
            <w:vAlign w:val="center"/>
          </w:tcPr>
          <w:p>
            <w:pPr>
              <w:jc w:val="center"/>
            </w:pPr>
            <w:r>
              <w:rPr>
                <w:rFonts w:ascii="Times New Roman" w:hAnsi="Times New Roman"/>
                <w:b w:val="0"/>
                <w:i w:val="0"/>
                <w:sz w:val="18"/>
              </w:rPr>
              <w:t>+0.361</w:t>
            </w:r>
          </w:p>
        </w:tc>
        <w:tc>
          <w:tcPr>
            <w:tcW w:type="dxa" w:w="1560"/>
            <w:shd w:val="clear" w:color="auto" w:fill="FFF3CD"/>
            <w:vAlign w:val="center"/>
          </w:tcPr>
          <w:p>
            <w:pPr>
              <w:jc w:val="center"/>
            </w:pPr>
            <w:r>
              <w:rPr>
                <w:rFonts w:ascii="Times New Roman" w:hAnsi="Times New Roman"/>
                <w:b w:val="0"/>
                <w:i w:val="0"/>
                <w:sz w:val="18"/>
              </w:rPr>
              <w:t>0.581 [TACTICAL]</w:t>
            </w:r>
          </w:p>
        </w:tc>
      </w:tr>
    </w:tbl>
    <w:p>
      <w:pPr>
        <w:spacing w:before="80" w:after="200" w:line="360" w:lineRule="exact"/>
        <w:jc w:val="both"/>
      </w:pPr>
      <w:r>
        <w:rPr>
          <w:rFonts w:ascii="Times New Roman" w:hAnsi="Times New Roman"/>
          <w:b w:val="0"/>
          <w:i w:val="0"/>
          <w:sz w:val="24"/>
        </w:rPr>
        <w:t>Table 2. CORE fraction SCI across lags 1–10 (W=3, S=500). * = pre-specified.</w:t>
      </w:r>
    </w:p>
    <w:p>
      <w:pPr>
        <w:spacing w:before="200" w:after="120"/>
      </w:pPr>
      <w:r>
        <w:rPr>
          <w:rFonts w:ascii="Times New Roman" w:hAnsi="Times New Roman"/>
          <w:b/>
          <w:i w:val="0"/>
          <w:sz w:val="26"/>
        </w:rPr>
        <w:t>2.3 Why Surrogates Outperform the Real Signal at Short Lags</w:t>
      </w:r>
    </w:p>
    <w:p>
      <w:pPr>
        <w:spacing w:before="120" w:after="120" w:line="360" w:lineRule="exact"/>
        <w:jc w:val="both"/>
      </w:pPr>
      <w:r>
        <w:rPr>
          <w:rFonts w:ascii="Times New Roman" w:hAnsi="Times New Roman"/>
          <w:b w:val="0"/>
          <w:i w:val="0"/>
          <w:sz w:val="24"/>
        </w:rPr>
        <w:t>The consistent pattern — c_surr &gt; c_obs at lags 1–7 — has a clear mechanistic explanation. Phase randomization of the CORE fraction preserves its power spectrum, which is concentrated at low frequencies (the series changes slowly month-to-month in the aggregate). The resulting surrogates are therefore also slow, smooth signals. A smooth, monotonic signal has a uniformly high Hilbert envelope that varies slowly → high envelope autocorrelation at all short lags. The real CORE fraction, by contrast, contains genuine month-to-month fluctuations (short-term upticks and downticks within the longer trend) that roughen the Hilbert envelope and reduce its short-lag autocorrelation. Surrogates preserve the spectral shape but destroy these fine-grained fluctuations, producing artificially smooth envelopes that systematically outperform the real signal on the SCI metric at short lags.</w:t>
      </w:r>
    </w:p>
    <w:p>
      <w:pPr>
        <w:spacing w:before="120" w:after="120" w:line="360" w:lineRule="exact"/>
        <w:jc w:val="both"/>
      </w:pPr>
      <w:r>
        <w:rPr>
          <w:rFonts w:ascii="Times New Roman" w:hAnsi="Times New Roman"/>
          <w:b w:val="0"/>
          <w:i w:val="0"/>
          <w:sz w:val="24"/>
        </w:rPr>
        <w:t>This is a fundamental property of the signal type, not a failure of the SCI framework. SCI was designed for oscillatory signals (EEG rhythms, market prices) where amplitude modulation is the target. A bounded, slowly-varying series (CORE fraction: range 0.145–0.451, N=56 months) is not an oscillatory signal in the Hilbert sense. The SCI-of-SCI design, while theoretically motivated, applies an oscillatory-signal tool to a non-oscillatory input.</w:t>
      </w:r>
    </w:p>
    <w:p>
      <w:pPr>
        <w:spacing w:before="200" w:after="120"/>
      </w:pPr>
      <w:r>
        <w:rPr>
          <w:rFonts w:ascii="Times New Roman" w:hAnsi="Times New Roman"/>
          <w:b/>
          <w:i w:val="0"/>
          <w:sz w:val="26"/>
        </w:rPr>
        <w:t>2.4 Raw ACF: Quasi-Periodic Structure at ~9 Months</w:t>
      </w:r>
    </w:p>
    <w:p>
      <w:pPr>
        <w:spacing w:before="120" w:after="120" w:line="360" w:lineRule="exact"/>
        <w:jc w:val="both"/>
      </w:pPr>
      <w:r>
        <w:rPr>
          <w:rFonts w:ascii="Times New Roman" w:hAnsi="Times New Roman"/>
          <w:b w:val="0"/>
          <w:i w:val="0"/>
          <w:sz w:val="24"/>
        </w:rPr>
        <w:t>Despite the null SCI result, the direct autocorrelation function of the CORE fraction reveals significant quasi-periodic structure. The lag-9 ACF is r=+0.582, t=4.80, p&lt;0.00002 (n=47 pairs, two-tailed). The full ACF pattern 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4057"/>
            <w:vAlign w:val="center"/>
          </w:tcPr>
          <w:p>
            <w:pPr>
              <w:jc w:val="center"/>
            </w:pPr>
            <w:r>
              <w:rPr>
                <w:rFonts w:ascii="Times New Roman" w:hAnsi="Times New Roman"/>
                <w:b/>
                <w:i w:val="0"/>
                <w:color w:val="FFFFFF"/>
                <w:sz w:val="18"/>
              </w:rPr>
              <w:t>Lag (months)</w:t>
            </w:r>
          </w:p>
        </w:tc>
        <w:tc>
          <w:tcPr>
            <w:tcW w:type="dxa" w:w="3120"/>
            <w:shd w:val="clear" w:color="auto" w:fill="2E4057"/>
            <w:vAlign w:val="center"/>
          </w:tcPr>
          <w:p>
            <w:pPr>
              <w:jc w:val="center"/>
            </w:pPr>
            <w:r>
              <w:rPr>
                <w:rFonts w:ascii="Times New Roman" w:hAnsi="Times New Roman"/>
                <w:b/>
                <w:i w:val="0"/>
                <w:color w:val="FFFFFF"/>
                <w:sz w:val="18"/>
              </w:rPr>
              <w:t>CORE fraction ACF</w:t>
            </w:r>
          </w:p>
        </w:tc>
        <w:tc>
          <w:tcPr>
            <w:tcW w:type="dxa" w:w="3120"/>
            <w:shd w:val="clear" w:color="auto" w:fill="2E4057"/>
            <w:vAlign w:val="center"/>
          </w:tcPr>
          <w:p>
            <w:pPr>
              <w:jc w:val="center"/>
            </w:pPr>
            <w:r>
              <w:rPr>
                <w:rFonts w:ascii="Times New Roman" w:hAnsi="Times New Roman"/>
                <w:b/>
                <w:i w:val="0"/>
                <w:color w:val="FFFFFF"/>
                <w:sz w:val="18"/>
              </w:rPr>
              <w:t>INELIGIBLE fraction ACF</w:t>
            </w:r>
          </w:p>
        </w:tc>
      </w:tr>
      <w:tr>
        <w:tc>
          <w:tcPr>
            <w:tcW w:type="dxa" w:w="3120"/>
            <w:shd w:val="clear" w:color="auto" w:fill="EAF4EA"/>
            <w:vAlign w:val="center"/>
          </w:tcPr>
          <w:p>
            <w:pPr>
              <w:jc w:val="center"/>
            </w:pPr>
            <w:r>
              <w:rPr>
                <w:rFonts w:ascii="Times New Roman" w:hAnsi="Times New Roman"/>
                <w:b w:val="0"/>
                <w:i w:val="0"/>
                <w:sz w:val="18"/>
              </w:rPr>
              <w:t>1</w:t>
            </w:r>
          </w:p>
        </w:tc>
        <w:tc>
          <w:tcPr>
            <w:tcW w:type="dxa" w:w="3120"/>
            <w:shd w:val="clear" w:color="auto" w:fill="EAF4EA"/>
            <w:vAlign w:val="center"/>
          </w:tcPr>
          <w:p>
            <w:pPr>
              <w:jc w:val="center"/>
            </w:pPr>
            <w:r>
              <w:rPr>
                <w:rFonts w:ascii="Times New Roman" w:hAnsi="Times New Roman"/>
                <w:b w:val="0"/>
                <w:i w:val="0"/>
                <w:sz w:val="18"/>
              </w:rPr>
              <w:t xml:space="preserve">  +0.337  (p=0.012)</w:t>
            </w:r>
          </w:p>
        </w:tc>
        <w:tc>
          <w:tcPr>
            <w:tcW w:type="dxa" w:w="3120"/>
            <w:shd w:val="clear" w:color="auto" w:fill="EAF4EA"/>
            <w:vAlign w:val="center"/>
          </w:tcPr>
          <w:p>
            <w:pPr>
              <w:jc w:val="center"/>
            </w:pPr>
            <w:r>
              <w:rPr>
                <w:rFonts w:ascii="Times New Roman" w:hAnsi="Times New Roman"/>
                <w:b w:val="0"/>
                <w:i w:val="0"/>
                <w:sz w:val="18"/>
              </w:rPr>
              <w:t xml:space="preserve">  +0.345  (p=0.009)</w:t>
            </w:r>
          </w:p>
        </w:tc>
      </w:tr>
      <w:tr>
        <w:tc>
          <w:tcPr>
            <w:tcW w:type="dxa" w:w="3120"/>
            <w:shd w:val="clear" w:color="auto" w:fill="F8F8F8"/>
            <w:vAlign w:val="center"/>
          </w:tcPr>
          <w:p>
            <w:pPr>
              <w:jc w:val="center"/>
            </w:pPr>
            <w:r>
              <w:rPr>
                <w:rFonts w:ascii="Times New Roman" w:hAnsi="Times New Roman"/>
                <w:b w:val="0"/>
                <w:i w:val="0"/>
                <w:sz w:val="18"/>
              </w:rPr>
              <w:t>2</w:t>
            </w:r>
          </w:p>
        </w:tc>
        <w:tc>
          <w:tcPr>
            <w:tcW w:type="dxa" w:w="3120"/>
            <w:shd w:val="clear" w:color="auto" w:fill="F8F8F8"/>
            <w:vAlign w:val="center"/>
          </w:tcPr>
          <w:p>
            <w:pPr>
              <w:jc w:val="center"/>
            </w:pPr>
            <w:r>
              <w:rPr>
                <w:rFonts w:ascii="Times New Roman" w:hAnsi="Times New Roman"/>
                <w:b w:val="0"/>
                <w:i w:val="0"/>
                <w:sz w:val="18"/>
              </w:rPr>
              <w:t xml:space="preserve">  −0.051</w:t>
            </w:r>
          </w:p>
        </w:tc>
        <w:tc>
          <w:tcPr>
            <w:tcW w:type="dxa" w:w="3120"/>
            <w:shd w:val="clear" w:color="auto" w:fill="F8F8F8"/>
            <w:vAlign w:val="center"/>
          </w:tcPr>
          <w:p>
            <w:pPr>
              <w:jc w:val="center"/>
            </w:pPr>
            <w:r>
              <w:rPr>
                <w:rFonts w:ascii="Times New Roman" w:hAnsi="Times New Roman"/>
                <w:b w:val="0"/>
                <w:i w:val="0"/>
                <w:sz w:val="18"/>
              </w:rPr>
              <w:t xml:space="preserve">  +0.062</w:t>
            </w:r>
          </w:p>
        </w:tc>
      </w:tr>
      <w:tr>
        <w:tc>
          <w:tcPr>
            <w:tcW w:type="dxa" w:w="3120"/>
            <w:shd w:val="clear" w:color="auto" w:fill="F8F8F8"/>
            <w:vAlign w:val="center"/>
          </w:tcPr>
          <w:p>
            <w:pPr>
              <w:jc w:val="center"/>
            </w:pPr>
            <w:r>
              <w:rPr>
                <w:rFonts w:ascii="Times New Roman" w:hAnsi="Times New Roman"/>
                <w:b w:val="0"/>
                <w:i w:val="0"/>
                <w:sz w:val="18"/>
              </w:rPr>
              <w:t>3</w:t>
            </w:r>
          </w:p>
        </w:tc>
        <w:tc>
          <w:tcPr>
            <w:tcW w:type="dxa" w:w="3120"/>
            <w:shd w:val="clear" w:color="auto" w:fill="F8F8F8"/>
            <w:vAlign w:val="center"/>
          </w:tcPr>
          <w:p>
            <w:pPr>
              <w:jc w:val="center"/>
            </w:pPr>
            <w:r>
              <w:rPr>
                <w:rFonts w:ascii="Times New Roman" w:hAnsi="Times New Roman"/>
                <w:b w:val="0"/>
                <w:i w:val="0"/>
                <w:sz w:val="18"/>
              </w:rPr>
              <w:t xml:space="preserve">  −0.111</w:t>
            </w:r>
          </w:p>
        </w:tc>
        <w:tc>
          <w:tcPr>
            <w:tcW w:type="dxa" w:w="3120"/>
            <w:shd w:val="clear" w:color="auto" w:fill="F8F8F8"/>
            <w:vAlign w:val="center"/>
          </w:tcPr>
          <w:p>
            <w:pPr>
              <w:jc w:val="center"/>
            </w:pPr>
            <w:r>
              <w:rPr>
                <w:rFonts w:ascii="Times New Roman" w:hAnsi="Times New Roman"/>
                <w:b w:val="0"/>
                <w:i w:val="0"/>
                <w:sz w:val="18"/>
              </w:rPr>
              <w:t xml:space="preserve">  −0.098</w:t>
            </w:r>
          </w:p>
        </w:tc>
      </w:tr>
      <w:tr>
        <w:tc>
          <w:tcPr>
            <w:tcW w:type="dxa" w:w="3120"/>
            <w:shd w:val="clear" w:color="auto" w:fill="FDECEA"/>
            <w:vAlign w:val="center"/>
          </w:tcPr>
          <w:p>
            <w:pPr>
              <w:jc w:val="center"/>
            </w:pPr>
            <w:r>
              <w:rPr>
                <w:rFonts w:ascii="Times New Roman" w:hAnsi="Times New Roman"/>
                <w:b w:val="0"/>
                <w:i w:val="0"/>
                <w:sz w:val="18"/>
              </w:rPr>
              <w:t>4</w:t>
            </w:r>
          </w:p>
        </w:tc>
        <w:tc>
          <w:tcPr>
            <w:tcW w:type="dxa" w:w="3120"/>
            <w:shd w:val="clear" w:color="auto" w:fill="FDECEA"/>
            <w:vAlign w:val="center"/>
          </w:tcPr>
          <w:p>
            <w:pPr>
              <w:jc w:val="center"/>
            </w:pPr>
            <w:r>
              <w:rPr>
                <w:rFonts w:ascii="Times New Roman" w:hAnsi="Times New Roman"/>
                <w:b w:val="0"/>
                <w:i w:val="0"/>
                <w:sz w:val="18"/>
              </w:rPr>
              <w:t xml:space="preserve">  −0.351  (p=0.009)</w:t>
            </w:r>
          </w:p>
        </w:tc>
        <w:tc>
          <w:tcPr>
            <w:tcW w:type="dxa" w:w="3120"/>
            <w:shd w:val="clear" w:color="auto" w:fill="FDECEA"/>
            <w:vAlign w:val="center"/>
          </w:tcPr>
          <w:p>
            <w:pPr>
              <w:jc w:val="center"/>
            </w:pPr>
            <w:r>
              <w:rPr>
                <w:rFonts w:ascii="Times New Roman" w:hAnsi="Times New Roman"/>
                <w:b w:val="0"/>
                <w:i w:val="0"/>
                <w:sz w:val="18"/>
              </w:rPr>
              <w:t xml:space="preserve">  −0.319  (p=0.018)</w:t>
            </w:r>
          </w:p>
        </w:tc>
      </w:tr>
      <w:tr>
        <w:tc>
          <w:tcPr>
            <w:tcW w:type="dxa" w:w="3120"/>
            <w:shd w:val="clear" w:color="auto" w:fill="FDECEA"/>
            <w:vAlign w:val="center"/>
          </w:tcPr>
          <w:p>
            <w:pPr>
              <w:jc w:val="center"/>
            </w:pPr>
            <w:r>
              <w:rPr>
                <w:rFonts w:ascii="Times New Roman" w:hAnsi="Times New Roman"/>
                <w:b w:val="0"/>
                <w:i w:val="0"/>
                <w:sz w:val="18"/>
              </w:rPr>
              <w:t>5</w:t>
            </w:r>
          </w:p>
        </w:tc>
        <w:tc>
          <w:tcPr>
            <w:tcW w:type="dxa" w:w="3120"/>
            <w:shd w:val="clear" w:color="auto" w:fill="FDECEA"/>
            <w:vAlign w:val="center"/>
          </w:tcPr>
          <w:p>
            <w:pPr>
              <w:jc w:val="center"/>
            </w:pPr>
            <w:r>
              <w:rPr>
                <w:rFonts w:ascii="Times New Roman" w:hAnsi="Times New Roman"/>
                <w:b w:val="0"/>
                <w:i w:val="0"/>
                <w:sz w:val="18"/>
              </w:rPr>
              <w:t xml:space="preserve">  −0.319  (p=0.022)</w:t>
            </w:r>
          </w:p>
        </w:tc>
        <w:tc>
          <w:tcPr>
            <w:tcW w:type="dxa" w:w="3120"/>
            <w:shd w:val="clear" w:color="auto" w:fill="FDECEA"/>
            <w:vAlign w:val="center"/>
          </w:tcPr>
          <w:p>
            <w:pPr>
              <w:jc w:val="center"/>
            </w:pPr>
            <w:r>
              <w:rPr>
                <w:rFonts w:ascii="Times New Roman" w:hAnsi="Times New Roman"/>
                <w:b w:val="0"/>
                <w:i w:val="0"/>
                <w:sz w:val="18"/>
              </w:rPr>
              <w:t xml:space="preserve">  −0.272  (p=0.048)</w:t>
            </w:r>
          </w:p>
        </w:tc>
      </w:tr>
      <w:tr>
        <w:tc>
          <w:tcPr>
            <w:tcW w:type="dxa" w:w="3120"/>
            <w:shd w:val="clear" w:color="auto" w:fill="F8F8F8"/>
            <w:vAlign w:val="center"/>
          </w:tcPr>
          <w:p>
            <w:pPr>
              <w:jc w:val="center"/>
            </w:pPr>
            <w:r>
              <w:rPr>
                <w:rFonts w:ascii="Times New Roman" w:hAnsi="Times New Roman"/>
                <w:b w:val="0"/>
                <w:i w:val="0"/>
                <w:sz w:val="18"/>
              </w:rPr>
              <w:t>6</w:t>
            </w:r>
          </w:p>
        </w:tc>
        <w:tc>
          <w:tcPr>
            <w:tcW w:type="dxa" w:w="3120"/>
            <w:shd w:val="clear" w:color="auto" w:fill="F8F8F8"/>
            <w:vAlign w:val="center"/>
          </w:tcPr>
          <w:p>
            <w:pPr>
              <w:jc w:val="center"/>
            </w:pPr>
            <w:r>
              <w:rPr>
                <w:rFonts w:ascii="Times New Roman" w:hAnsi="Times New Roman"/>
                <w:b w:val="0"/>
                <w:i w:val="0"/>
                <w:sz w:val="18"/>
              </w:rPr>
              <w:t xml:space="preserve">  −0.247  (p=0.084)</w:t>
            </w:r>
          </w:p>
        </w:tc>
        <w:tc>
          <w:tcPr>
            <w:tcW w:type="dxa" w:w="3120"/>
            <w:shd w:val="clear" w:color="auto" w:fill="F8F8F8"/>
            <w:vAlign w:val="center"/>
          </w:tcPr>
          <w:p>
            <w:pPr>
              <w:jc w:val="center"/>
            </w:pPr>
            <w:r>
              <w:rPr>
                <w:rFonts w:ascii="Times New Roman" w:hAnsi="Times New Roman"/>
                <w:b w:val="0"/>
                <w:i w:val="0"/>
                <w:sz w:val="18"/>
              </w:rPr>
              <w:t xml:space="preserve">  −0.242  (p=0.086)</w:t>
            </w:r>
          </w:p>
        </w:tc>
      </w:tr>
      <w:tr>
        <w:tc>
          <w:tcPr>
            <w:tcW w:type="dxa" w:w="3120"/>
            <w:shd w:val="clear" w:color="auto" w:fill="F8F8F8"/>
            <w:vAlign w:val="center"/>
          </w:tcPr>
          <w:p>
            <w:pPr>
              <w:jc w:val="center"/>
            </w:pPr>
            <w:r>
              <w:rPr>
                <w:rFonts w:ascii="Times New Roman" w:hAnsi="Times New Roman"/>
                <w:b w:val="0"/>
                <w:i w:val="0"/>
                <w:sz w:val="18"/>
              </w:rPr>
              <w:t>7</w:t>
            </w:r>
          </w:p>
        </w:tc>
        <w:tc>
          <w:tcPr>
            <w:tcW w:type="dxa" w:w="3120"/>
            <w:shd w:val="clear" w:color="auto" w:fill="F8F8F8"/>
            <w:vAlign w:val="center"/>
          </w:tcPr>
          <w:p>
            <w:pPr>
              <w:jc w:val="center"/>
            </w:pPr>
            <w:r>
              <w:rPr>
                <w:rFonts w:ascii="Times New Roman" w:hAnsi="Times New Roman"/>
                <w:b w:val="0"/>
                <w:i w:val="0"/>
                <w:sz w:val="18"/>
              </w:rPr>
              <w:t xml:space="preserve">  −0.155</w:t>
            </w:r>
          </w:p>
        </w:tc>
        <w:tc>
          <w:tcPr>
            <w:tcW w:type="dxa" w:w="3120"/>
            <w:shd w:val="clear" w:color="auto" w:fill="F8F8F8"/>
            <w:vAlign w:val="center"/>
          </w:tcPr>
          <w:p>
            <w:pPr>
              <w:jc w:val="center"/>
            </w:pPr>
            <w:r>
              <w:rPr>
                <w:rFonts w:ascii="Times New Roman" w:hAnsi="Times New Roman"/>
                <w:b w:val="0"/>
                <w:i w:val="0"/>
                <w:sz w:val="18"/>
              </w:rPr>
              <w:t xml:space="preserve">  −0.152</w:t>
            </w:r>
          </w:p>
        </w:tc>
      </w:tr>
      <w:tr>
        <w:tc>
          <w:tcPr>
            <w:tcW w:type="dxa" w:w="3120"/>
            <w:shd w:val="clear" w:color="auto" w:fill="F8F8F8"/>
            <w:vAlign w:val="center"/>
          </w:tcPr>
          <w:p>
            <w:pPr>
              <w:jc w:val="center"/>
            </w:pPr>
            <w:r>
              <w:rPr>
                <w:rFonts w:ascii="Times New Roman" w:hAnsi="Times New Roman"/>
                <w:b w:val="0"/>
                <w:i w:val="0"/>
                <w:sz w:val="18"/>
              </w:rPr>
              <w:t>8</w:t>
            </w:r>
          </w:p>
        </w:tc>
        <w:tc>
          <w:tcPr>
            <w:tcW w:type="dxa" w:w="3120"/>
            <w:shd w:val="clear" w:color="auto" w:fill="F8F8F8"/>
            <w:vAlign w:val="center"/>
          </w:tcPr>
          <w:p>
            <w:pPr>
              <w:jc w:val="center"/>
            </w:pPr>
            <w:r>
              <w:rPr>
                <w:rFonts w:ascii="Times New Roman" w:hAnsi="Times New Roman"/>
                <w:b w:val="0"/>
                <w:i w:val="0"/>
                <w:sz w:val="18"/>
              </w:rPr>
              <w:t xml:space="preserve">  +0.200</w:t>
            </w:r>
          </w:p>
        </w:tc>
        <w:tc>
          <w:tcPr>
            <w:tcW w:type="dxa" w:w="3120"/>
            <w:shd w:val="clear" w:color="auto" w:fill="F8F8F8"/>
            <w:vAlign w:val="center"/>
          </w:tcPr>
          <w:p>
            <w:pPr>
              <w:jc w:val="center"/>
            </w:pPr>
            <w:r>
              <w:rPr>
                <w:rFonts w:ascii="Times New Roman" w:hAnsi="Times New Roman"/>
                <w:b w:val="0"/>
                <w:i w:val="0"/>
                <w:sz w:val="18"/>
              </w:rPr>
              <w:t xml:space="preserve">  +0.090</w:t>
            </w:r>
          </w:p>
        </w:tc>
      </w:tr>
      <w:tr>
        <w:tc>
          <w:tcPr>
            <w:tcW w:type="dxa" w:w="3120"/>
            <w:shd w:val="clear" w:color="auto" w:fill="EAF4EA"/>
            <w:vAlign w:val="center"/>
          </w:tcPr>
          <w:p>
            <w:pPr>
              <w:jc w:val="center"/>
            </w:pPr>
            <w:r>
              <w:rPr>
                <w:rFonts w:ascii="Times New Roman" w:hAnsi="Times New Roman"/>
                <w:b w:val="0"/>
                <w:i w:val="0"/>
                <w:sz w:val="18"/>
              </w:rPr>
              <w:t>9</w:t>
            </w:r>
          </w:p>
        </w:tc>
        <w:tc>
          <w:tcPr>
            <w:tcW w:type="dxa" w:w="3120"/>
            <w:shd w:val="clear" w:color="auto" w:fill="EAF4EA"/>
            <w:vAlign w:val="center"/>
          </w:tcPr>
          <w:p>
            <w:pPr>
              <w:jc w:val="center"/>
            </w:pPr>
            <w:r>
              <w:rPr>
                <w:rFonts w:ascii="Times New Roman" w:hAnsi="Times New Roman"/>
                <w:b w:val="0"/>
                <w:i w:val="0"/>
                <w:sz w:val="18"/>
              </w:rPr>
              <w:t xml:space="preserve">  +0.582  (p&lt;0.00002)</w:t>
            </w:r>
          </w:p>
        </w:tc>
        <w:tc>
          <w:tcPr>
            <w:tcW w:type="dxa" w:w="3120"/>
            <w:shd w:val="clear" w:color="auto" w:fill="EAF4EA"/>
            <w:vAlign w:val="center"/>
          </w:tcPr>
          <w:p>
            <w:pPr>
              <w:jc w:val="center"/>
            </w:pPr>
            <w:r>
              <w:rPr>
                <w:rFonts w:ascii="Times New Roman" w:hAnsi="Times New Roman"/>
                <w:b w:val="0"/>
                <w:i w:val="0"/>
                <w:sz w:val="18"/>
              </w:rPr>
              <w:t xml:space="preserve">  +0.447  (p=0.002)</w:t>
            </w:r>
          </w:p>
        </w:tc>
      </w:tr>
      <w:tr>
        <w:tc>
          <w:tcPr>
            <w:tcW w:type="dxa" w:w="3120"/>
            <w:shd w:val="clear" w:color="auto" w:fill="F8F8F8"/>
            <w:vAlign w:val="center"/>
          </w:tcPr>
          <w:p>
            <w:pPr>
              <w:jc w:val="center"/>
            </w:pPr>
            <w:r>
              <w:rPr>
                <w:rFonts w:ascii="Times New Roman" w:hAnsi="Times New Roman"/>
                <w:b w:val="0"/>
                <w:i w:val="0"/>
                <w:sz w:val="18"/>
              </w:rPr>
              <w:t>10</w:t>
            </w:r>
          </w:p>
        </w:tc>
        <w:tc>
          <w:tcPr>
            <w:tcW w:type="dxa" w:w="3120"/>
            <w:shd w:val="clear" w:color="auto" w:fill="F8F8F8"/>
            <w:vAlign w:val="center"/>
          </w:tcPr>
          <w:p>
            <w:pPr>
              <w:jc w:val="center"/>
            </w:pPr>
            <w:r>
              <w:rPr>
                <w:rFonts w:ascii="Times New Roman" w:hAnsi="Times New Roman"/>
                <w:b w:val="0"/>
                <w:i w:val="0"/>
                <w:sz w:val="18"/>
              </w:rPr>
              <w:t xml:space="preserve">  +0.285</w:t>
            </w:r>
          </w:p>
        </w:tc>
        <w:tc>
          <w:tcPr>
            <w:tcW w:type="dxa" w:w="3120"/>
            <w:shd w:val="clear" w:color="auto" w:fill="F8F8F8"/>
            <w:vAlign w:val="center"/>
          </w:tcPr>
          <w:p>
            <w:pPr>
              <w:jc w:val="center"/>
            </w:pPr>
            <w:r>
              <w:rPr>
                <w:rFonts w:ascii="Times New Roman" w:hAnsi="Times New Roman"/>
                <w:b w:val="0"/>
                <w:i w:val="0"/>
                <w:sz w:val="18"/>
              </w:rPr>
              <w:t xml:space="preserve">  +0.215</w:t>
            </w:r>
          </w:p>
        </w:tc>
      </w:tr>
      <w:tr>
        <w:tc>
          <w:tcPr>
            <w:tcW w:type="dxa" w:w="3120"/>
            <w:shd w:val="clear" w:color="auto" w:fill="F8F8F8"/>
            <w:vAlign w:val="center"/>
          </w:tcPr>
          <w:p>
            <w:pPr>
              <w:jc w:val="center"/>
            </w:pPr>
            <w:r>
              <w:rPr>
                <w:rFonts w:ascii="Times New Roman" w:hAnsi="Times New Roman"/>
                <w:b w:val="0"/>
                <w:i w:val="0"/>
                <w:sz w:val="18"/>
              </w:rPr>
              <w:t>11</w:t>
            </w:r>
          </w:p>
        </w:tc>
        <w:tc>
          <w:tcPr>
            <w:tcW w:type="dxa" w:w="3120"/>
            <w:shd w:val="clear" w:color="auto" w:fill="F8F8F8"/>
            <w:vAlign w:val="center"/>
          </w:tcPr>
          <w:p>
            <w:pPr>
              <w:jc w:val="center"/>
            </w:pPr>
            <w:r>
              <w:rPr>
                <w:rFonts w:ascii="Times New Roman" w:hAnsi="Times New Roman"/>
                <w:b w:val="0"/>
                <w:i w:val="0"/>
                <w:sz w:val="18"/>
              </w:rPr>
              <w:t xml:space="preserve">  +0.162</w:t>
            </w:r>
          </w:p>
        </w:tc>
        <w:tc>
          <w:tcPr>
            <w:tcW w:type="dxa" w:w="3120"/>
            <w:shd w:val="clear" w:color="auto" w:fill="F8F8F8"/>
            <w:vAlign w:val="center"/>
          </w:tcPr>
          <w:p>
            <w:pPr>
              <w:jc w:val="center"/>
            </w:pPr>
            <w:r>
              <w:rPr>
                <w:rFonts w:ascii="Times New Roman" w:hAnsi="Times New Roman"/>
                <w:b w:val="0"/>
                <w:i w:val="0"/>
                <w:sz w:val="18"/>
              </w:rPr>
              <w:t xml:space="preserve">  +0.082</w:t>
            </w:r>
          </w:p>
        </w:tc>
      </w:tr>
      <w:tr>
        <w:tc>
          <w:tcPr>
            <w:tcW w:type="dxa" w:w="3120"/>
            <w:shd w:val="clear" w:color="auto" w:fill="F8F8F8"/>
            <w:vAlign w:val="center"/>
          </w:tcPr>
          <w:p>
            <w:pPr>
              <w:jc w:val="center"/>
            </w:pPr>
            <w:r>
              <w:rPr>
                <w:rFonts w:ascii="Times New Roman" w:hAnsi="Times New Roman"/>
                <w:b w:val="0"/>
                <w:i w:val="0"/>
                <w:sz w:val="18"/>
              </w:rPr>
              <w:t>12</w:t>
            </w:r>
          </w:p>
        </w:tc>
        <w:tc>
          <w:tcPr>
            <w:tcW w:type="dxa" w:w="3120"/>
            <w:shd w:val="clear" w:color="auto" w:fill="F8F8F8"/>
            <w:vAlign w:val="center"/>
          </w:tcPr>
          <w:p>
            <w:pPr>
              <w:jc w:val="center"/>
            </w:pPr>
            <w:r>
              <w:rPr>
                <w:rFonts w:ascii="Times New Roman" w:hAnsi="Times New Roman"/>
                <w:b w:val="0"/>
                <w:i w:val="0"/>
                <w:sz w:val="18"/>
              </w:rPr>
              <w:t xml:space="preserve">  −0.076</w:t>
            </w:r>
          </w:p>
        </w:tc>
        <w:tc>
          <w:tcPr>
            <w:tcW w:type="dxa" w:w="3120"/>
            <w:shd w:val="clear" w:color="auto" w:fill="F8F8F8"/>
            <w:vAlign w:val="center"/>
          </w:tcPr>
          <w:p>
            <w:pPr>
              <w:jc w:val="center"/>
            </w:pPr>
            <w:r>
              <w:rPr>
                <w:rFonts w:ascii="Times New Roman" w:hAnsi="Times New Roman"/>
                <w:b w:val="0"/>
                <w:i w:val="0"/>
                <w:sz w:val="18"/>
              </w:rPr>
              <w:t xml:space="preserve">  −0.216</w:t>
            </w:r>
          </w:p>
        </w:tc>
      </w:tr>
    </w:tbl>
    <w:p>
      <w:pPr>
        <w:spacing w:before="80" w:after="200" w:line="360" w:lineRule="exact"/>
        <w:jc w:val="both"/>
      </w:pPr>
      <w:r>
        <w:rPr>
          <w:rFonts w:ascii="Times New Roman" w:hAnsi="Times New Roman"/>
          <w:b w:val="0"/>
          <w:i w:val="0"/>
          <w:sz w:val="24"/>
        </w:rPr>
        <w:t>Table 3. CORE and INELIGIBLE fraction ACF. Green = oscillation peaks, red = troughs.</w:t>
      </w:r>
    </w:p>
    <w:p>
      <w:pPr>
        <w:spacing w:before="120" w:after="120" w:line="360" w:lineRule="exact"/>
        <w:jc w:val="both"/>
      </w:pPr>
      <w:r>
        <w:rPr>
          <w:rFonts w:ascii="Times New Roman" w:hAnsi="Times New Roman"/>
          <w:b w:val="0"/>
          <w:i w:val="0"/>
          <w:sz w:val="24"/>
        </w:rPr>
        <w:t>The pattern — positive at lag 1, negative trough at lags 4–5, positive peak at lag 9, then oscillating — is characteristic of a quasi-periodic signal with cycle length approximately 8–10 months. Both CORE and INELIGIBLE fractions show this pattern, as expected (they are nearly mirror images). The lag-9 result is highly significant at p&lt;0.00002.</w:t>
      </w:r>
    </w:p>
    <w:p>
      <w:pPr>
        <w:spacing w:before="200" w:after="120"/>
      </w:pPr>
      <w:r>
        <w:rPr>
          <w:rFonts w:ascii="Times New Roman" w:hAnsi="Times New Roman"/>
          <w:b/>
          <w:i w:val="0"/>
          <w:sz w:val="26"/>
        </w:rPr>
        <w:t>2.5 Hilbert Envelope ACF</w:t>
      </w:r>
    </w:p>
    <w:p>
      <w:pPr>
        <w:spacing w:before="120" w:after="120" w:line="360" w:lineRule="exact"/>
        <w:jc w:val="both"/>
      </w:pPr>
      <w:r>
        <w:rPr>
          <w:rFonts w:ascii="Times New Roman" w:hAnsi="Times New Roman"/>
          <w:b w:val="0"/>
          <w:i w:val="0"/>
          <w:sz w:val="24"/>
        </w:rPr>
        <w:t>The Hilbert envelope of the CORE fraction (centered) also shows significant autocorrelation: lag-1 r=+0.431, p=0.001; lag-8 r=+0.424, p=0.003; lag-9 r=+0.413, p=0.004. The amplitude of CORE fraction fluctuations is therefore not random — it is coherent at 1-month and 8-9 month lags. However, SCI with W=3 smoothing and 500 surrogates shows these positive envelope autocorrelations are within the surrogate distribution (the surrogate envelopes are still smoother at these lags, just less so). The signal is present but below the SCI detection threshold for this series length.</w:t>
      </w:r>
    </w:p>
    <w:p>
      <w:pPr>
        <w:spacing w:before="280" w:after="120"/>
      </w:pPr>
      <w:r>
        <w:rPr>
          <w:rFonts w:ascii="Times New Roman" w:hAnsi="Times New Roman"/>
          <w:b/>
          <w:i w:val="0"/>
          <w:sz w:val="28"/>
        </w:rPr>
        <w:t>3. Discussion</w:t>
      </w:r>
    </w:p>
    <w:p>
      <w:pPr>
        <w:spacing w:before="200" w:after="120"/>
      </w:pPr>
      <w:r>
        <w:rPr>
          <w:rFonts w:ascii="Times New Roman" w:hAnsi="Times New Roman"/>
          <w:b/>
          <w:i w:val="0"/>
          <w:sz w:val="26"/>
        </w:rPr>
        <w:t>3.1 What the Result Actually Says</w:t>
      </w:r>
    </w:p>
    <w:p>
      <w:pPr>
        <w:spacing w:before="120" w:after="120" w:line="360" w:lineRule="exact"/>
        <w:jc w:val="both"/>
      </w:pPr>
      <w:r>
        <w:rPr>
          <w:rFonts w:ascii="Times New Roman" w:hAnsi="Times New Roman"/>
          <w:b w:val="0"/>
          <w:i w:val="0"/>
          <w:sz w:val="24"/>
        </w:rPr>
        <w:t>The SCI-of-SCI prediction was not confirmed. The CORE fraction scores INELIGIBLE by the SCI metric at all tested lag values. This cannot be interpreted as 'the coherence level has no temporal structure,' because the raw ACF at lag 9 (r=0.582, p&lt;0.00002) directly contradicts that reading. The coherence level does oscillate quasi-periodically at approximately 8-10 months.</w:t>
      </w:r>
    </w:p>
    <w:p>
      <w:pPr>
        <w:spacing w:before="120" w:after="120" w:line="360" w:lineRule="exact"/>
        <w:jc w:val="both"/>
      </w:pPr>
      <w:r>
        <w:rPr>
          <w:rFonts w:ascii="Times New Roman" w:hAnsi="Times New Roman"/>
          <w:b w:val="0"/>
          <w:i w:val="0"/>
          <w:sz w:val="24"/>
        </w:rPr>
        <w:t>The correct reading is narrower: the Hilbert envelope amplitude of the CORE fraction does not produce SCI &gt; 0.5 in this 56-point sample. This is partly a sample size problem (N=56 gives low statistical power for SCI with S=500 surrogates) and partly a signal-type mismatch (SCI detects amplitude-modulated oscillation; the CORE fraction is a quasi-periodic but roughly constant-amplitude oscillation, which SCI cannot distinguish from noise).</w:t>
      </w:r>
    </w:p>
    <w:p>
      <w:pPr>
        <w:spacing w:before="200" w:after="120"/>
      </w:pPr>
      <w:r>
        <w:rPr>
          <w:rFonts w:ascii="Times New Roman" w:hAnsi="Times New Roman"/>
          <w:b/>
          <w:i w:val="0"/>
          <w:sz w:val="26"/>
        </w:rPr>
        <w:t>3.2 The ~9-Month Coherence Cycle</w:t>
      </w:r>
    </w:p>
    <w:p>
      <w:pPr>
        <w:spacing w:before="120" w:after="120" w:line="360" w:lineRule="exact"/>
        <w:jc w:val="both"/>
      </w:pPr>
      <w:r>
        <w:rPr>
          <w:rFonts w:ascii="Times New Roman" w:hAnsi="Times New Roman"/>
          <w:b w:val="0"/>
          <w:i w:val="0"/>
          <w:sz w:val="24"/>
        </w:rPr>
        <w:t>The quasi-periodic ~9-month oscillation in market coherence level is a substantive finding. It overlaps with the classical business cycle literature (Kitchin cycles: 3-5 years; inventory cycles: 6-12 months). In the SCI framework, this means the market alternates between structural and noise regimes at an approximately quarterly-to-annual cadence. This is the oscillatory arrow of time made empirical — not at cosmological scale, but in the financial domain.</w:t>
      </w:r>
    </w:p>
    <w:p>
      <w:pPr>
        <w:spacing w:before="120" w:after="120" w:line="360" w:lineRule="exact"/>
        <w:jc w:val="both"/>
      </w:pPr>
      <w:r>
        <w:rPr>
          <w:rFonts w:ascii="Times New Roman" w:hAnsi="Times New Roman"/>
          <w:b w:val="0"/>
          <w:i w:val="0"/>
          <w:sz w:val="24"/>
        </w:rPr>
        <w:t>The temporal coverage (Sep 2021 – Apr 2026, 56 months) spans approximately 6 full 9-month cycles. The ACF pattern is stable: positive at lag 1, trough at lag 4-5, recovery at lag 9. This is consistent with a damped oscillator with natural period ~9 months and mild mean reversion after each half-cycle. A longer time series (e.g., rolling SCI from 2010 onward, requiring daily price data) would allow proper spectral analysis and would either confirm or constrain this cycle length.</w:t>
      </w:r>
    </w:p>
    <w:p>
      <w:pPr>
        <w:spacing w:before="200" w:after="120"/>
      </w:pPr>
      <w:r>
        <w:rPr>
          <w:rFonts w:ascii="Times New Roman" w:hAnsi="Times New Roman"/>
          <w:b/>
          <w:i w:val="0"/>
          <w:sz w:val="26"/>
        </w:rPr>
        <w:t>3.3 The Right Test for the Right Signal</w:t>
      </w:r>
    </w:p>
    <w:p>
      <w:pPr>
        <w:spacing w:before="120" w:after="120" w:line="360" w:lineRule="exact"/>
        <w:jc w:val="both"/>
      </w:pPr>
      <w:r>
        <w:rPr>
          <w:rFonts w:ascii="Times New Roman" w:hAnsi="Times New Roman"/>
          <w:b w:val="0"/>
          <w:i w:val="0"/>
          <w:sz w:val="24"/>
        </w:rPr>
        <w:t>SCI is designed to detect structured amplitude modulation (AM) in oscillatory signals — the hallmark of biological rhythms, market price dynamics, and physical resonances. The CORE fraction is not an AM signal. It is a level signal with quasi-periodic oscillation and roughly constant amplitude. The correct test for a level signal is the ACF or spectral density, not SCI.</w:t>
      </w:r>
    </w:p>
    <w:p>
      <w:pPr>
        <w:spacing w:before="120" w:after="120" w:line="360" w:lineRule="exact"/>
        <w:jc w:val="both"/>
      </w:pPr>
      <w:r>
        <w:rPr>
          <w:rFonts w:ascii="Times New Roman" w:hAnsi="Times New Roman"/>
          <w:b w:val="0"/>
          <w:i w:val="0"/>
          <w:sz w:val="24"/>
        </w:rPr>
        <w:t>A proper SCI-of-SCI test would require either: (a) computing rolling SCI on the CORE fraction at much finer time resolution (daily or weekly) to produce a longer time series with oscillatory envelope structure, or (b) applying SCI to the residuals of a periodic fit to the CORE fraction (i.e., asking whether the amplitude of deviations from the 9-month cycle is modulated). Both options require data beyond the current 56-month window.</w:t>
      </w:r>
    </w:p>
    <w:p>
      <w:pPr>
        <w:spacing w:before="280" w:after="120"/>
      </w:pPr>
      <w:r>
        <w:rPr>
          <w:rFonts w:ascii="Times New Roman" w:hAnsi="Times New Roman"/>
          <w:b/>
          <w:i w:val="0"/>
          <w:sz w:val="28"/>
        </w:rPr>
        <w:t>4. Conclusion</w:t>
      </w:r>
    </w:p>
    <w:p>
      <w:pPr>
        <w:spacing w:before="120" w:after="120" w:line="360" w:lineRule="exact"/>
        <w:jc w:val="both"/>
      </w:pPr>
      <w:r>
        <w:rPr>
          <w:rFonts w:ascii="Times New Roman" w:hAnsi="Times New Roman"/>
          <w:b w:val="0"/>
          <w:i w:val="0"/>
          <w:sz w:val="24"/>
        </w:rPr>
        <w:t>The SCI-of-SCI experiment yielded INELIGIBLE on the pre-specified parameters (W=3, L=5, S=500): CORE fraction z=−0.652, SCI=0.357. The prediction of CORE classification was not confirmed. The null result is attributed to a signal-type mismatch: SCI detects amplitude modulation of oscillatory signals, but the CORE fraction is a bounded quasi-periodic level signal whose surrogates systematically have smoother Hilbert envelopes than the real series.</w:t>
      </w:r>
    </w:p>
    <w:p>
      <w:pPr>
        <w:spacing w:before="120" w:after="120" w:line="360" w:lineRule="exact"/>
        <w:jc w:val="both"/>
      </w:pPr>
      <w:r>
        <w:rPr>
          <w:rFonts w:ascii="Times New Roman" w:hAnsi="Times New Roman"/>
          <w:b w:val="0"/>
          <w:i w:val="0"/>
          <w:sz w:val="24"/>
        </w:rPr>
        <w:t>The raw ACF of the CORE fraction, however, reveals a statistically significant quasi-periodic oscillation at ~9-month period (lag-9 ACF: r=+0.582, t=4.80, p&lt;0.00002). This is the oscillatory arrow of time rendered directly empirical in financial data: the market's coherence level alternates between structural and noise regimes with an approximately 9-month cycle.</w:t>
      </w:r>
    </w:p>
    <w:p>
      <w:pPr>
        <w:spacing w:before="120" w:after="120" w:line="360" w:lineRule="exact"/>
        <w:jc w:val="both"/>
      </w:pPr>
      <w:r>
        <w:rPr>
          <w:rFonts w:ascii="Times New Roman" w:hAnsi="Times New Roman"/>
          <w:b w:val="0"/>
          <w:i w:val="0"/>
          <w:sz w:val="24"/>
        </w:rPr>
        <w:t>The two key limitations are sample size (56 monthly data points is insufficient for SCI at W=3, L=5) and signal type (SCI requires amplitude-modulated oscillatory input, not a slowly-varying level signal). Both can be addressed with longer or higher-frequency coherence level data. The 9-month ACF finding is the most direct and significant result from this experiment.</w:t>
      </w:r>
    </w:p>
    <w:p>
      <w:r>
        <w:br w:type="page"/>
      </w:r>
    </w:p>
    <w:p>
      <w:pPr>
        <w:spacing w:before="280" w:after="120"/>
      </w:pPr>
      <w:r>
        <w:rPr>
          <w:rFonts w:ascii="Times New Roman" w:hAnsi="Times New Roman"/>
          <w:b/>
          <w:i w:val="0"/>
          <w:sz w:val="28"/>
        </w:rPr>
        <w:t>Appendix: Reproduction</w:t>
      </w:r>
    </w:p>
    <w:p>
      <w:pPr>
        <w:spacing w:before="120" w:after="120" w:line="360" w:lineRule="exact"/>
        <w:jc w:val="both"/>
      </w:pPr>
      <w:r>
        <w:rPr>
          <w:rFonts w:ascii="Times New Roman" w:hAnsi="Times New Roman"/>
          <w:b w:val="0"/>
          <w:i w:val="0"/>
          <w:sz w:val="24"/>
        </w:rPr>
        <w:t>Input data:</w:t>
      </w:r>
    </w:p>
    <w:p>
      <w:pPr>
        <w:spacing w:before="80" w:after="80"/>
        <w:ind w:left="576"/>
        <w:shd w:val="clear" w:color="auto" w:fill="F2F2F2"/>
      </w:pPr>
      <w:r>
        <w:rPr>
          <w:rFonts w:ascii="Courier New" w:hAnsi="Courier New"/>
          <w:b w:val="0"/>
          <w:i w:val="0"/>
          <w:sz w:val="18"/>
        </w:rPr>
        <w:t>results/triadic_law_v1/bucket_fractions.csv   # 56-month CORE/TACTICAL/INELIGIBLE fractions</w:t>
        <w:br/>
        <w:t>results/triadic_law_dist_v1/hist_matrix.csv   # 56×10 histogram matrix for PC1/PC2</w:t>
      </w:r>
    </w:p>
    <w:p>
      <w:pPr>
        <w:spacing w:before="120" w:after="120" w:line="360" w:lineRule="exact"/>
        <w:jc w:val="both"/>
      </w:pPr>
      <w:r>
        <w:rPr>
          <w:rFonts w:ascii="Times New Roman" w:hAnsi="Times New Roman"/>
          <w:b w:val="0"/>
          <w:i w:val="0"/>
          <w:sz w:val="24"/>
        </w:rPr>
        <w:t>Run:</w:t>
      </w:r>
    </w:p>
    <w:p>
      <w:pPr>
        <w:spacing w:before="80" w:after="80"/>
        <w:ind w:left="576"/>
        <w:shd w:val="clear" w:color="auto" w:fill="F2F2F2"/>
      </w:pPr>
      <w:r>
        <w:rPr>
          <w:rFonts w:ascii="Courier New" w:hAnsi="Courier New"/>
          <w:b w:val="0"/>
          <w:i w:val="0"/>
          <w:sz w:val="18"/>
        </w:rPr>
        <w:t>cd '/Users/parkerlee/Desktop/If Im Right/SCI_Project'</w:t>
        <w:br/>
        <w:t>python3 scripts/finance/sci_of_sci_v1.py</w:t>
        <w:br/>
        <w:t># Outputs: results/sci_of_sci_v1/</w:t>
      </w:r>
    </w:p>
    <w:p>
      <w:pPr>
        <w:spacing w:before="120" w:after="120" w:line="360" w:lineRule="exact"/>
        <w:jc w:val="both"/>
      </w:pPr>
      <w:r>
        <w:rPr>
          <w:rFonts w:ascii="Times New Roman" w:hAnsi="Times New Roman"/>
          <w:b w:val="0"/>
          <w:i w:val="0"/>
          <w:sz w:val="24"/>
        </w:rPr>
        <w:t>Key output files: sci_of_sci_results.csv, summary.txt, plots/sci_of_sci_main.png, plots/hilbert_envelope.png.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