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rPr>
        <w:t>SCI on CMB Residuals: Searching for Organized Amplitude Modulation</w:t>
        <w:br/>
        <w:t>in the Planck 2018 Temperature Power Spectrum After ΛCDM Subtraction</w:t>
      </w:r>
    </w:p>
    <w:p>
      <w:pPr>
        <w:spacing w:before="20" w:after="20"/>
        <w:jc w:val="center"/>
      </w:pPr>
      <w:r>
        <w:rPr>
          <w:rFonts w:ascii="Times New Roman" w:hAnsi="Times New Roman"/>
          <w:b w:val="0"/>
          <w:i/>
          <w:sz w:val="22"/>
        </w:rPr>
        <w:t>Parker J. Lee</w:t>
      </w:r>
    </w:p>
    <w:p>
      <w:pPr>
        <w:spacing w:before="20" w:after="20"/>
        <w:jc w:val="center"/>
      </w:pPr>
      <w:r>
        <w:rPr>
          <w:rFonts w:ascii="Times New Roman" w:hAnsi="Times New Roman"/>
          <w:b w:val="0"/>
          <w:i/>
          <w:sz w:val="22"/>
        </w:rPr>
        <w:t>Independent Researcher · Nashville, TN</w:t>
      </w:r>
    </w:p>
    <w:p>
      <w:pPr>
        <w:spacing w:before="20" w:after="20"/>
        <w:jc w:val="center"/>
      </w:pPr>
      <w:r>
        <w:rPr>
          <w:rFonts w:ascii="Times New Roman" w:hAnsi="Times New Roman"/>
          <w:b w:val="0"/>
          <w:i/>
          <w:sz w:val="22"/>
        </w:rPr>
        <w:t>US Provisional Patent Application 63/904,444</w:t>
      </w:r>
    </w:p>
    <w:p>
      <w:pPr>
        <w:spacing w:before="20" w:after="20"/>
        <w:jc w:val="center"/>
      </w:pPr>
      <w:r>
        <w:rPr>
          <w:rFonts w:ascii="Times New Roman" w:hAnsi="Times New Roman"/>
          <w:b w:val="0"/>
          <w:i w:val="0"/>
          <w:sz w:val="22"/>
        </w:rPr>
        <w:t>2026-05-14</w:t>
      </w:r>
    </w:p>
    <w:p/>
    <w:p>
      <w:pPr>
        <w:spacing w:before="280" w:after="120"/>
      </w:pPr>
      <w:r>
        <w:rPr>
          <w:rFonts w:ascii="Times New Roman" w:hAnsi="Times New Roman"/>
          <w:b/>
          <w:i w:val="0"/>
          <w:sz w:val="28"/>
        </w:rPr>
        <w:t>Abstract</w:t>
      </w:r>
    </w:p>
    <w:p>
      <w:pPr>
        <w:spacing w:before="120" w:after="120" w:line="360" w:lineRule="exact"/>
        <w:jc w:val="both"/>
      </w:pPr>
      <w:r>
        <w:rPr>
          <w:rFonts w:ascii="Times New Roman" w:hAnsi="Times New Roman"/>
          <w:b w:val="0"/>
          <w:i w:val="0"/>
          <w:sz w:val="24"/>
        </w:rPr>
        <w:t>We applied the Structural Coherence Index (SCI) to the Planck 2018 CMB TT power spectrum residuals — the difference between the observed D_l spectrum and the best-fit ΛCDM prediction — to test whether any organized amplitude-envelope modulation persists after standard cosmological model subtraction. The analysis used the publicly available Planck 2018 data release (N=2,507 unbinned multipoles, l=2 to 2508) and a 83-bin binned spectrum with explicit best-fit values. A critical confound was identified and resolved: raw residuals score CORE (SCI≈0.9955) at all window sizes because the residual amplitude is modulated by the acoustic peak structure of the error bars — not by non-ΛCDM physics. The appropriate analysis uses standardized residuals δD_l/σ_l, which remove this confound. Standardized residuals score INELIGIBLE at the acoustic (W=75, L=150, z=−0.70) and broad-scale (W=200, L=400, z=−0.05) windows that are directly relevant to cosmological claims. A weak positive signal appears at fine scale (W=20, L=40, z=+0.80, SCI=0.672) and is attributed to Planck's known multipole-to-multipole noise correlations from the data processing pipeline rather than to non-ΛCDM physics. The overall result is that the Planck 2018 CMB residuals are consistent with noise across the scales relevant to the Oscillatory Arrow of Time hypothesis.</w:t>
      </w:r>
    </w:p>
    <w:p>
      <w:pPr>
        <w:spacing w:before="280" w:after="120"/>
      </w:pPr>
      <w:r>
        <w:rPr>
          <w:rFonts w:ascii="Times New Roman" w:hAnsi="Times New Roman"/>
          <w:b/>
          <w:i w:val="0"/>
          <w:sz w:val="28"/>
        </w:rPr>
        <w:t>1. Motivation and Prediction</w:t>
      </w:r>
    </w:p>
    <w:p>
      <w:pPr>
        <w:spacing w:before="120" w:after="120" w:line="360" w:lineRule="exact"/>
        <w:jc w:val="both"/>
      </w:pPr>
      <w:r>
        <w:rPr>
          <w:rFonts w:ascii="Times New Roman" w:hAnsi="Times New Roman"/>
          <w:b w:val="0"/>
          <w:i w:val="0"/>
          <w:sz w:val="24"/>
        </w:rPr>
        <w:t>The Oscillatory Arrow of Time proposes that entropy and order alternate as complementary phases of a universal cycle — that the second law of thermodynamics is local (within an epoch) rather than global (across the full cycle). At cosmological scales, this predicts that the envelope of cosmological entropy proxies should show organized amplitude modulation rather than monotonically increasing entropy with random fluctuations.</w:t>
      </w:r>
    </w:p>
    <w:p>
      <w:pPr>
        <w:spacing w:before="120" w:after="120" w:line="360" w:lineRule="exact"/>
        <w:jc w:val="both"/>
      </w:pPr>
      <w:r>
        <w:rPr>
          <w:rFonts w:ascii="Times New Roman" w:hAnsi="Times New Roman"/>
          <w:b w:val="0"/>
          <w:i w:val="0"/>
          <w:sz w:val="24"/>
        </w:rPr>
        <w:t>The CMB temperature power spectrum is the most precisely measured cosmological observable and provides the most sensitive test of large-scale structure. The key distinction: raw CMB structure is dominated by known physics (acoustic oscillations, lensing, foreground contamination, instrument noise). The serious test is on the residuals after standard cosmological model subtraction — asking whether the remaining structure contains above-null amplitude-envelope coherence that cannot be attributed to known effects.</w:t>
      </w:r>
    </w:p>
    <w:p>
      <w:pPr>
        <w:spacing w:before="120" w:after="120" w:line="360" w:lineRule="exact"/>
        <w:jc w:val="both"/>
      </w:pPr>
      <w:r>
        <w:rPr>
          <w:rFonts w:ascii="Times New Roman" w:hAnsi="Times New Roman"/>
          <w:b w:val="0"/>
          <w:i w:val="0"/>
          <w:sz w:val="24"/>
        </w:rPr>
        <w:t>Null hypothesis: Residuals δD_l = D_l^obs − D_l^ΛCDM are consistent with noise (cosmic variance + instrument noise). SCI on standardized residuals δD_l/σ_l should score INELIGIBLE across all window sizes, indicating no organized amplitude modulation beyond phase-randomized surrogates.</w:t>
      </w:r>
    </w:p>
    <w:p>
      <w:pPr>
        <w:spacing w:before="280" w:after="120"/>
      </w:pPr>
      <w:r>
        <w:rPr>
          <w:rFonts w:ascii="Times New Roman" w:hAnsi="Times New Roman"/>
          <w:b/>
          <w:i w:val="0"/>
          <w:sz w:val="28"/>
        </w:rPr>
        <w:t>2. Data and Methods</w:t>
      </w:r>
    </w:p>
    <w:p>
      <w:pPr>
        <w:spacing w:before="200" w:after="120"/>
      </w:pPr>
      <w:r>
        <w:rPr>
          <w:rFonts w:ascii="Times New Roman" w:hAnsi="Times New Roman"/>
          <w:b/>
          <w:i w:val="0"/>
          <w:sz w:val="26"/>
        </w:rPr>
        <w:t>2.1 Data Sources</w:t>
      </w:r>
    </w:p>
    <w:p>
      <w:pPr>
        <w:spacing w:before="120" w:after="120" w:line="360" w:lineRule="exact"/>
        <w:jc w:val="both"/>
      </w:pPr>
      <w:r>
        <w:rPr>
          <w:rFonts w:ascii="Times New Roman" w:hAnsi="Times New Roman"/>
          <w:b w:val="0"/>
          <w:i w:val="0"/>
          <w:sz w:val="24"/>
        </w:rPr>
        <w:t>All data are from the Planck 2018 public data release R3, accessed through the IRSA Planck archive (irsa.ipac.caltech.edu/data/Planck/release_3/). No API key or registration required. Three files were downloaded:</w:t>
      </w:r>
    </w:p>
    <w:p>
      <w:pPr>
        <w:spacing w:before="60" w:after="60"/>
        <w:ind w:left="432"/>
      </w:pPr>
      <w:r>
        <w:rPr>
          <w:rFonts w:ascii="Times New Roman" w:hAnsi="Times New Roman"/>
          <w:b w:val="0"/>
          <w:i w:val="0"/>
          <w:sz w:val="22"/>
        </w:rPr>
        <w:t>• COM_PowerSpect_CMB-TT-full_R3.01.txt: unbinned TT power spectrum, l=2..2508 (N=2507). Columns: l, D_l^obs, −δD_l, +δD_l in units of μK².</w:t>
      </w:r>
    </w:p>
    <w:p>
      <w:pPr>
        <w:spacing w:before="60" w:after="60"/>
        <w:ind w:left="432"/>
      </w:pPr>
      <w:r>
        <w:rPr>
          <w:rFonts w:ascii="Times New Roman" w:hAnsi="Times New Roman"/>
          <w:b w:val="0"/>
          <w:i w:val="0"/>
          <w:sz w:val="22"/>
        </w:rPr>
        <w:t>• COM_PowerSpect_CMB-base-plikHM-TTTEEE-lowl-lowE-lensing-minimum-theory_R3.01.txt: best-fit ΛCDM model D_l (plikHM+lowl+lowE+lensing), same l grid.</w:t>
      </w:r>
    </w:p>
    <w:p>
      <w:pPr>
        <w:spacing w:before="60" w:after="60"/>
        <w:ind w:left="432"/>
      </w:pPr>
      <w:r>
        <w:rPr>
          <w:rFonts w:ascii="Times New Roman" w:hAnsi="Times New Roman"/>
          <w:b w:val="0"/>
          <w:i w:val="0"/>
          <w:sz w:val="22"/>
        </w:rPr>
        <w:t>• COM_PowerSpect_CMB-TT-binned_R3.01.txt: 83 band-power bins with explicit BestFit column.</w:t>
      </w:r>
    </w:p>
    <w:p>
      <w:pPr>
        <w:spacing w:before="200" w:after="120"/>
      </w:pPr>
      <w:r>
        <w:rPr>
          <w:rFonts w:ascii="Times New Roman" w:hAnsi="Times New Roman"/>
          <w:b/>
          <w:i w:val="0"/>
          <w:sz w:val="26"/>
        </w:rPr>
        <w:t>2.2 Residual Construction</w:t>
      </w:r>
    </w:p>
    <w:p>
      <w:pPr>
        <w:spacing w:before="120" w:after="120" w:line="360" w:lineRule="exact"/>
        <w:jc w:val="both"/>
      </w:pPr>
      <w:r>
        <w:rPr>
          <w:rFonts w:ascii="Times New Roman" w:hAnsi="Times New Roman"/>
          <w:b w:val="0"/>
          <w:i w:val="0"/>
          <w:sz w:val="24"/>
        </w:rPr>
        <w:t>Raw residuals: δD_l = D_l^obs − D_l^ΛCDM (μK²). Standardized residuals: ẑ_l = δD_l / σ_l, where σ_l = mean(−δD_l, +δD_l) is the symmetric error estimate. Standardized residuals have mean ≈ 0 and standard deviation ≈ 1 across all l-ranges, confirming proper signal-to-noise weighting.</w:t>
      </w:r>
    </w:p>
    <w:p>
      <w:pPr>
        <w:spacing w:before="80" w:after="80"/>
        <w:ind w:left="576"/>
        <w:shd w:val="clear" w:color="auto" w:fill="F2F2F2"/>
      </w:pPr>
      <w:r>
        <w:rPr>
          <w:rFonts w:ascii="Courier New" w:hAnsi="Courier New"/>
          <w:b w:val="0"/>
          <w:i w:val="0"/>
          <w:sz w:val="18"/>
        </w:rPr>
        <w:t>resid_std = (Dl_obs - Dl_theory) / (0.5*(err_lo + err_hi) + 1e-6)</w:t>
        <w:br/>
        <w:t># Check: mean=-0.007, std=1.014 across l=2..2508</w:t>
      </w:r>
    </w:p>
    <w:p>
      <w:pPr>
        <w:spacing w:before="200" w:after="120"/>
      </w:pPr>
      <w:r>
        <w:rPr>
          <w:rFonts w:ascii="Times New Roman" w:hAnsi="Times New Roman"/>
          <w:b/>
          <w:i w:val="0"/>
          <w:sz w:val="26"/>
        </w:rPr>
        <w:t>2.3 SCI Analysis</w:t>
      </w:r>
    </w:p>
    <w:p>
      <w:pPr>
        <w:spacing w:before="120" w:after="120" w:line="360" w:lineRule="exact"/>
        <w:jc w:val="both"/>
      </w:pPr>
      <w:r>
        <w:rPr>
          <w:rFonts w:ascii="Times New Roman" w:hAnsi="Times New Roman"/>
          <w:b w:val="0"/>
          <w:i w:val="0"/>
          <w:sz w:val="24"/>
        </w:rPr>
        <w:t>SCI was applied to four series (unbinned/binned × raw/standardized) at multiple window sizes. The multipole index l is treated as the 'time' axis: l is a continuous index from 2 to 2508, and SCI asks whether the Hilbert amplitude envelope of δD_l(l) shows greater autocorrelation than a phase-randomized surrogate. Phase randomization preserves the power spectrum of the residual series but destroys any organized envelope structure. Locked parameters: S=200 surrogates, k=0.9, seed=42.</w:t>
      </w:r>
    </w:p>
    <w:p>
      <w:pPr>
        <w:spacing w:before="160" w:after="80" w:line="360" w:lineRule="exact"/>
        <w:jc w:val="both"/>
      </w:pPr>
      <w:r>
        <w:rPr>
          <w:rFonts w:ascii="Times New Roman" w:hAnsi="Times New Roman"/>
          <w:b w:val="0"/>
          <w:i w:val="0"/>
          <w:sz w:val="24"/>
        </w:rPr>
        <w:t>Window parameter sets: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E4057"/>
            <w:vAlign w:val="center"/>
          </w:tcPr>
          <w:p>
            <w:pPr>
              <w:jc w:val="center"/>
            </w:pPr>
            <w:r>
              <w:rPr>
                <w:rFonts w:ascii="Times New Roman" w:hAnsi="Times New Roman"/>
                <w:b/>
                <w:i w:val="0"/>
                <w:color w:val="FFFFFF"/>
                <w:sz w:val="18"/>
              </w:rPr>
              <w:t>Series</w:t>
            </w:r>
          </w:p>
        </w:tc>
        <w:tc>
          <w:tcPr>
            <w:tcW w:type="dxa" w:w="1872"/>
            <w:shd w:val="clear" w:color="auto" w:fill="2E4057"/>
            <w:vAlign w:val="center"/>
          </w:tcPr>
          <w:p>
            <w:pPr>
              <w:jc w:val="center"/>
            </w:pPr>
            <w:r>
              <w:rPr>
                <w:rFonts w:ascii="Times New Roman" w:hAnsi="Times New Roman"/>
                <w:b/>
                <w:i w:val="0"/>
                <w:color w:val="FFFFFF"/>
                <w:sz w:val="18"/>
              </w:rPr>
              <w:t>N</w:t>
            </w:r>
          </w:p>
        </w:tc>
        <w:tc>
          <w:tcPr>
            <w:tcW w:type="dxa" w:w="1872"/>
            <w:shd w:val="clear" w:color="auto" w:fill="2E4057"/>
            <w:vAlign w:val="center"/>
          </w:tcPr>
          <w:p>
            <w:pPr>
              <w:jc w:val="center"/>
            </w:pPr>
            <w:r>
              <w:rPr>
                <w:rFonts w:ascii="Times New Roman" w:hAnsi="Times New Roman"/>
                <w:b/>
                <w:i w:val="0"/>
                <w:color w:val="FFFFFF"/>
                <w:sz w:val="18"/>
              </w:rPr>
              <w:t>W</w:t>
            </w:r>
          </w:p>
        </w:tc>
        <w:tc>
          <w:tcPr>
            <w:tcW w:type="dxa" w:w="1872"/>
            <w:shd w:val="clear" w:color="auto" w:fill="2E4057"/>
            <w:vAlign w:val="center"/>
          </w:tcPr>
          <w:p>
            <w:pPr>
              <w:jc w:val="center"/>
            </w:pPr>
            <w:r>
              <w:rPr>
                <w:rFonts w:ascii="Times New Roman" w:hAnsi="Times New Roman"/>
                <w:b/>
                <w:i w:val="0"/>
                <w:color w:val="FFFFFF"/>
                <w:sz w:val="18"/>
              </w:rPr>
              <w:t>L</w:t>
            </w:r>
          </w:p>
        </w:tc>
        <w:tc>
          <w:tcPr>
            <w:tcW w:type="dxa" w:w="1872"/>
            <w:shd w:val="clear" w:color="auto" w:fill="2E4057"/>
            <w:vAlign w:val="center"/>
          </w:tcPr>
          <w:p>
            <w:pPr>
              <w:jc w:val="center"/>
            </w:pPr>
            <w:r>
              <w:rPr>
                <w:rFonts w:ascii="Times New Roman" w:hAnsi="Times New Roman"/>
                <w:b/>
                <w:i w:val="0"/>
                <w:color w:val="FFFFFF"/>
                <w:sz w:val="18"/>
              </w:rPr>
              <w:t>Rationale</w:t>
            </w:r>
          </w:p>
        </w:tc>
      </w:tr>
      <w:tr>
        <w:tc>
          <w:tcPr>
            <w:tcW w:type="dxa" w:w="1872"/>
            <w:shd w:val="clear" w:color="auto" w:fill="F8F8F8"/>
            <w:vAlign w:val="center"/>
          </w:tcPr>
          <w:p>
            <w:pPr>
              <w:jc w:val="left"/>
            </w:pPr>
            <w:r>
              <w:rPr>
                <w:rFonts w:ascii="Times New Roman" w:hAnsi="Times New Roman"/>
                <w:b w:val="0"/>
                <w:i w:val="0"/>
                <w:sz w:val="18"/>
              </w:rPr>
              <w:t>Unbinned (fine)</w:t>
            </w:r>
          </w:p>
        </w:tc>
        <w:tc>
          <w:tcPr>
            <w:tcW w:type="dxa" w:w="1872"/>
            <w:shd w:val="clear" w:color="auto" w:fill="F8F8F8"/>
            <w:vAlign w:val="center"/>
          </w:tcPr>
          <w:p>
            <w:pPr>
              <w:jc w:val="center"/>
            </w:pPr>
            <w:r>
              <w:rPr>
                <w:rFonts w:ascii="Times New Roman" w:hAnsi="Times New Roman"/>
                <w:b w:val="0"/>
                <w:i w:val="0"/>
                <w:sz w:val="18"/>
              </w:rPr>
              <w:t>2507</w:t>
            </w:r>
          </w:p>
        </w:tc>
        <w:tc>
          <w:tcPr>
            <w:tcW w:type="dxa" w:w="1872"/>
            <w:shd w:val="clear" w:color="auto" w:fill="F8F8F8"/>
            <w:vAlign w:val="center"/>
          </w:tcPr>
          <w:p>
            <w:pPr>
              <w:jc w:val="center"/>
            </w:pPr>
            <w:r>
              <w:rPr>
                <w:rFonts w:ascii="Times New Roman" w:hAnsi="Times New Roman"/>
                <w:b w:val="0"/>
                <w:i w:val="0"/>
                <w:sz w:val="18"/>
              </w:rPr>
              <w:t>20</w:t>
            </w:r>
          </w:p>
        </w:tc>
        <w:tc>
          <w:tcPr>
            <w:tcW w:type="dxa" w:w="1872"/>
            <w:shd w:val="clear" w:color="auto" w:fill="F8F8F8"/>
            <w:vAlign w:val="center"/>
          </w:tcPr>
          <w:p>
            <w:pPr>
              <w:jc w:val="center"/>
            </w:pPr>
            <w:r>
              <w:rPr>
                <w:rFonts w:ascii="Times New Roman" w:hAnsi="Times New Roman"/>
                <w:b w:val="0"/>
                <w:i w:val="0"/>
                <w:sz w:val="18"/>
              </w:rPr>
              <w:t>40</w:t>
            </w:r>
          </w:p>
        </w:tc>
        <w:tc>
          <w:tcPr>
            <w:tcW w:type="dxa" w:w="1872"/>
            <w:shd w:val="clear" w:color="auto" w:fill="F8F8F8"/>
            <w:vAlign w:val="center"/>
          </w:tcPr>
          <w:p>
            <w:pPr>
              <w:jc w:val="left"/>
            </w:pPr>
            <w:r>
              <w:rPr>
                <w:rFonts w:ascii="Times New Roman" w:hAnsi="Times New Roman"/>
                <w:b w:val="0"/>
                <w:i w:val="0"/>
                <w:sz w:val="18"/>
              </w:rPr>
              <w:t>Sub-acoustic: l-scale ~20 multipoles</w:t>
            </w:r>
          </w:p>
        </w:tc>
      </w:tr>
      <w:tr>
        <w:tc>
          <w:tcPr>
            <w:tcW w:type="dxa" w:w="1872"/>
            <w:shd w:val="clear" w:color="auto" w:fill="F8F8F8"/>
            <w:vAlign w:val="center"/>
          </w:tcPr>
          <w:p>
            <w:pPr>
              <w:jc w:val="left"/>
            </w:pPr>
            <w:r>
              <w:rPr>
                <w:rFonts w:ascii="Times New Roman" w:hAnsi="Times New Roman"/>
                <w:b w:val="0"/>
                <w:i w:val="0"/>
                <w:sz w:val="18"/>
              </w:rPr>
              <w:t>Unbinned (acoustic)</w:t>
            </w:r>
          </w:p>
        </w:tc>
        <w:tc>
          <w:tcPr>
            <w:tcW w:type="dxa" w:w="1872"/>
            <w:shd w:val="clear" w:color="auto" w:fill="F8F8F8"/>
            <w:vAlign w:val="center"/>
          </w:tcPr>
          <w:p>
            <w:pPr>
              <w:jc w:val="center"/>
            </w:pPr>
            <w:r>
              <w:rPr>
                <w:rFonts w:ascii="Times New Roman" w:hAnsi="Times New Roman"/>
                <w:b w:val="0"/>
                <w:i w:val="0"/>
                <w:sz w:val="18"/>
              </w:rPr>
              <w:t>2507</w:t>
            </w:r>
          </w:p>
        </w:tc>
        <w:tc>
          <w:tcPr>
            <w:tcW w:type="dxa" w:w="1872"/>
            <w:shd w:val="clear" w:color="auto" w:fill="F8F8F8"/>
            <w:vAlign w:val="center"/>
          </w:tcPr>
          <w:p>
            <w:pPr>
              <w:jc w:val="center"/>
            </w:pPr>
            <w:r>
              <w:rPr>
                <w:rFonts w:ascii="Times New Roman" w:hAnsi="Times New Roman"/>
                <w:b w:val="0"/>
                <w:i w:val="0"/>
                <w:sz w:val="18"/>
              </w:rPr>
              <w:t>75</w:t>
            </w:r>
          </w:p>
        </w:tc>
        <w:tc>
          <w:tcPr>
            <w:tcW w:type="dxa" w:w="1872"/>
            <w:shd w:val="clear" w:color="auto" w:fill="F8F8F8"/>
            <w:vAlign w:val="center"/>
          </w:tcPr>
          <w:p>
            <w:pPr>
              <w:jc w:val="center"/>
            </w:pPr>
            <w:r>
              <w:rPr>
                <w:rFonts w:ascii="Times New Roman" w:hAnsi="Times New Roman"/>
                <w:b w:val="0"/>
                <w:i w:val="0"/>
                <w:sz w:val="18"/>
              </w:rPr>
              <w:t>150</w:t>
            </w:r>
          </w:p>
        </w:tc>
        <w:tc>
          <w:tcPr>
            <w:tcW w:type="dxa" w:w="1872"/>
            <w:shd w:val="clear" w:color="auto" w:fill="F8F8F8"/>
            <w:vAlign w:val="center"/>
          </w:tcPr>
          <w:p>
            <w:pPr>
              <w:jc w:val="left"/>
            </w:pPr>
            <w:r>
              <w:rPr>
                <w:rFonts w:ascii="Times New Roman" w:hAnsi="Times New Roman"/>
                <w:b w:val="0"/>
                <w:i w:val="0"/>
                <w:sz w:val="18"/>
              </w:rPr>
              <w:t>Acoustic peak spacing ~300 → W≈¼ period</w:t>
            </w:r>
          </w:p>
        </w:tc>
      </w:tr>
      <w:tr>
        <w:tc>
          <w:tcPr>
            <w:tcW w:type="dxa" w:w="1872"/>
            <w:shd w:val="clear" w:color="auto" w:fill="F8F8F8"/>
            <w:vAlign w:val="center"/>
          </w:tcPr>
          <w:p>
            <w:pPr>
              <w:jc w:val="left"/>
            </w:pPr>
            <w:r>
              <w:rPr>
                <w:rFonts w:ascii="Times New Roman" w:hAnsi="Times New Roman"/>
                <w:b w:val="0"/>
                <w:i w:val="0"/>
                <w:sz w:val="18"/>
              </w:rPr>
              <w:t>Unbinned (broad)</w:t>
            </w:r>
          </w:p>
        </w:tc>
        <w:tc>
          <w:tcPr>
            <w:tcW w:type="dxa" w:w="1872"/>
            <w:shd w:val="clear" w:color="auto" w:fill="F8F8F8"/>
            <w:vAlign w:val="center"/>
          </w:tcPr>
          <w:p>
            <w:pPr>
              <w:jc w:val="center"/>
            </w:pPr>
            <w:r>
              <w:rPr>
                <w:rFonts w:ascii="Times New Roman" w:hAnsi="Times New Roman"/>
                <w:b w:val="0"/>
                <w:i w:val="0"/>
                <w:sz w:val="18"/>
              </w:rPr>
              <w:t>2507</w:t>
            </w:r>
          </w:p>
        </w:tc>
        <w:tc>
          <w:tcPr>
            <w:tcW w:type="dxa" w:w="1872"/>
            <w:shd w:val="clear" w:color="auto" w:fill="F8F8F8"/>
            <w:vAlign w:val="center"/>
          </w:tcPr>
          <w:p>
            <w:pPr>
              <w:jc w:val="center"/>
            </w:pPr>
            <w:r>
              <w:rPr>
                <w:rFonts w:ascii="Times New Roman" w:hAnsi="Times New Roman"/>
                <w:b w:val="0"/>
                <w:i w:val="0"/>
                <w:sz w:val="18"/>
              </w:rPr>
              <w:t>200</w:t>
            </w:r>
          </w:p>
        </w:tc>
        <w:tc>
          <w:tcPr>
            <w:tcW w:type="dxa" w:w="1872"/>
            <w:shd w:val="clear" w:color="auto" w:fill="F8F8F8"/>
            <w:vAlign w:val="center"/>
          </w:tcPr>
          <w:p>
            <w:pPr>
              <w:jc w:val="center"/>
            </w:pPr>
            <w:r>
              <w:rPr>
                <w:rFonts w:ascii="Times New Roman" w:hAnsi="Times New Roman"/>
                <w:b w:val="0"/>
                <w:i w:val="0"/>
                <w:sz w:val="18"/>
              </w:rPr>
              <w:t>400</w:t>
            </w:r>
          </w:p>
        </w:tc>
        <w:tc>
          <w:tcPr>
            <w:tcW w:type="dxa" w:w="1872"/>
            <w:shd w:val="clear" w:color="auto" w:fill="F8F8F8"/>
            <w:vAlign w:val="center"/>
          </w:tcPr>
          <w:p>
            <w:pPr>
              <w:jc w:val="left"/>
            </w:pPr>
            <w:r>
              <w:rPr>
                <w:rFonts w:ascii="Times New Roman" w:hAnsi="Times New Roman"/>
                <w:b w:val="0"/>
                <w:i w:val="0"/>
                <w:sz w:val="18"/>
              </w:rPr>
              <w:t>Envelope across full spectral range</w:t>
            </w:r>
          </w:p>
        </w:tc>
      </w:tr>
    </w:tbl>
    <w:p>
      <w:pPr>
        <w:spacing w:before="80" w:after="200" w:line="360" w:lineRule="exact"/>
        <w:jc w:val="both"/>
      </w:pPr>
      <w:r>
        <w:rPr>
          <w:rFonts w:ascii="Times New Roman" w:hAnsi="Times New Roman"/>
          <w:b w:val="0"/>
          <w:i w:val="0"/>
          <w:sz w:val="24"/>
        </w:rPr>
        <w:t>Table 1. Window parameters for unbinned analysis. Binned (N=83): W=5,15; L=10,25.</w:t>
      </w:r>
    </w:p>
    <w:p>
      <w:pPr>
        <w:spacing w:before="280" w:after="120"/>
      </w:pPr>
      <w:r>
        <w:rPr>
          <w:rFonts w:ascii="Times New Roman" w:hAnsi="Times New Roman"/>
          <w:b/>
          <w:i w:val="0"/>
          <w:sz w:val="28"/>
        </w:rPr>
        <w:t>3. Results</w:t>
      </w:r>
    </w:p>
    <w:p>
      <w:pPr>
        <w:spacing w:before="200" w:after="120"/>
      </w:pPr>
      <w:r>
        <w:rPr>
          <w:rFonts w:ascii="Times New Roman" w:hAnsi="Times New Roman"/>
          <w:b/>
          <w:i w:val="0"/>
          <w:sz w:val="26"/>
        </w:rPr>
        <w:t>3.1 The Confound: Why Raw Residuals Score CORE</w:t>
      </w:r>
    </w:p>
    <w:p>
      <w:pPr>
        <w:spacing w:before="120" w:after="120" w:line="360" w:lineRule="exact"/>
        <w:jc w:val="both"/>
      </w:pPr>
      <w:r>
        <w:rPr>
          <w:rFonts w:ascii="Times New Roman" w:hAnsi="Times New Roman"/>
          <w:b w:val="0"/>
          <w:i w:val="0"/>
          <w:sz w:val="24"/>
        </w:rPr>
        <w:t>Raw residuals δD_l (in μK²) score CORE at z=6.0 (clipped) across all window sizes. This is a confound, not a physics result. The mechanism: Planck's error bars σ_l are themselves amplitude-modulated by the acoustic peak structure. At the first acoustic peak (l≈200), σ_l ≈ 432 μK² on average, while between peaks it is much smaller. The acoustic oscillations in D_l^ΛCDM are partially imprinted in D_l^obs as well, so residuals near acoustic peaks are systematically larger in absolute value than residuals in acoustic troughs. The Hilbert envelope of the raw residual series therefore detects the acoustic periodicity of the error bar structure — not any non-ΛCDM signal.</w:t>
      </w:r>
    </w:p>
    <w:p>
      <w:pPr>
        <w:spacing w:before="120" w:after="120" w:line="360" w:lineRule="exact"/>
        <w:jc w:val="both"/>
      </w:pPr>
      <w:r>
        <w:rPr>
          <w:rFonts w:ascii="Times New Roman" w:hAnsi="Times New Roman"/>
          <w:b w:val="0"/>
          <w:i w:val="0"/>
          <w:sz w:val="24"/>
        </w:rPr>
        <w:t>Range-by-range confirmation: the standard deviation of raw residuals in l=30..300 is 470.7 μK² (acoustic peak region, large error bars), in l=300..1000 is 141.0 μK², and in l=1000..2508 is 51.9 μK² — monotonically decreasing with l, tracking the declining amplitude of the acoustic oscillations and their associated error bars. The Hilbert envelope detects this systematic variation as 'coherent amplitude modulation,' producing a spurious CORE score. All subsequent analysis uses standardized residuals.</w:t>
      </w:r>
    </w:p>
    <w:p>
      <w:pPr>
        <w:spacing w:before="200" w:after="120"/>
      </w:pPr>
      <w:r>
        <w:rPr>
          <w:rFonts w:ascii="Times New Roman" w:hAnsi="Times New Roman"/>
          <w:b/>
          <w:i w:val="0"/>
          <w:sz w:val="26"/>
        </w:rPr>
        <w:t>3.2 Primary Results: Standardized Residuals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4057"/>
            <w:vAlign w:val="center"/>
          </w:tcPr>
          <w:p>
            <w:pPr>
              <w:jc w:val="center"/>
            </w:pPr>
            <w:r>
              <w:rPr>
                <w:rFonts w:ascii="Times New Roman" w:hAnsi="Times New Roman"/>
                <w:b/>
                <w:i w:val="0"/>
                <w:color w:val="FFFFFF"/>
                <w:sz w:val="18"/>
              </w:rPr>
              <w:t>Series</w:t>
            </w:r>
          </w:p>
        </w:tc>
        <w:tc>
          <w:tcPr>
            <w:tcW w:type="dxa" w:w="1337"/>
            <w:shd w:val="clear" w:color="auto" w:fill="2E4057"/>
            <w:vAlign w:val="center"/>
          </w:tcPr>
          <w:p>
            <w:pPr>
              <w:jc w:val="center"/>
            </w:pPr>
            <w:r>
              <w:rPr>
                <w:rFonts w:ascii="Times New Roman" w:hAnsi="Times New Roman"/>
                <w:b/>
                <w:i w:val="0"/>
                <w:color w:val="FFFFFF"/>
                <w:sz w:val="18"/>
              </w:rPr>
              <w:t>W</w:t>
            </w:r>
          </w:p>
        </w:tc>
        <w:tc>
          <w:tcPr>
            <w:tcW w:type="dxa" w:w="1337"/>
            <w:shd w:val="clear" w:color="auto" w:fill="2E4057"/>
            <w:vAlign w:val="center"/>
          </w:tcPr>
          <w:p>
            <w:pPr>
              <w:jc w:val="center"/>
            </w:pPr>
            <w:r>
              <w:rPr>
                <w:rFonts w:ascii="Times New Roman" w:hAnsi="Times New Roman"/>
                <w:b/>
                <w:i w:val="0"/>
                <w:color w:val="FFFFFF"/>
                <w:sz w:val="18"/>
              </w:rPr>
              <w:t>L</w:t>
            </w:r>
          </w:p>
        </w:tc>
        <w:tc>
          <w:tcPr>
            <w:tcW w:type="dxa" w:w="1337"/>
            <w:shd w:val="clear" w:color="auto" w:fill="2E4057"/>
            <w:vAlign w:val="center"/>
          </w:tcPr>
          <w:p>
            <w:pPr>
              <w:jc w:val="center"/>
            </w:pPr>
            <w:r>
              <w:rPr>
                <w:rFonts w:ascii="Times New Roman" w:hAnsi="Times New Roman"/>
                <w:b/>
                <w:i w:val="0"/>
                <w:color w:val="FFFFFF"/>
                <w:sz w:val="18"/>
              </w:rPr>
              <w:t>c_obs</w:t>
            </w:r>
          </w:p>
        </w:tc>
        <w:tc>
          <w:tcPr>
            <w:tcW w:type="dxa" w:w="1337"/>
            <w:shd w:val="clear" w:color="auto" w:fill="2E4057"/>
            <w:vAlign w:val="center"/>
          </w:tcPr>
          <w:p>
            <w:pPr>
              <w:jc w:val="center"/>
            </w:pPr>
            <w:r>
              <w:rPr>
                <w:rFonts w:ascii="Times New Roman" w:hAnsi="Times New Roman"/>
                <w:b/>
                <w:i w:val="0"/>
                <w:color w:val="FFFFFF"/>
                <w:sz w:val="18"/>
              </w:rPr>
              <w:t>gap</w:t>
            </w:r>
          </w:p>
        </w:tc>
        <w:tc>
          <w:tcPr>
            <w:tcW w:type="dxa" w:w="1337"/>
            <w:shd w:val="clear" w:color="auto" w:fill="2E4057"/>
            <w:vAlign w:val="center"/>
          </w:tcPr>
          <w:p>
            <w:pPr>
              <w:jc w:val="center"/>
            </w:pPr>
            <w:r>
              <w:rPr>
                <w:rFonts w:ascii="Times New Roman" w:hAnsi="Times New Roman"/>
                <w:b/>
                <w:i w:val="0"/>
                <w:color w:val="FFFFFF"/>
                <w:sz w:val="18"/>
              </w:rPr>
              <w:t>z</w:t>
            </w:r>
          </w:p>
        </w:tc>
        <w:tc>
          <w:tcPr>
            <w:tcW w:type="dxa" w:w="1337"/>
            <w:shd w:val="clear" w:color="auto" w:fill="2E4057"/>
            <w:vAlign w:val="center"/>
          </w:tcPr>
          <w:p>
            <w:pPr>
              <w:jc w:val="center"/>
            </w:pPr>
            <w:r>
              <w:rPr>
                <w:rFonts w:ascii="Times New Roman" w:hAnsi="Times New Roman"/>
                <w:b/>
                <w:i w:val="0"/>
                <w:color w:val="FFFFFF"/>
                <w:sz w:val="18"/>
              </w:rPr>
              <w:t>SCI [bucket]</w:t>
            </w:r>
          </w:p>
        </w:tc>
      </w:tr>
      <w:tr>
        <w:tc>
          <w:tcPr>
            <w:tcW w:type="dxa" w:w="1337"/>
            <w:shd w:val="clear" w:color="auto" w:fill="FFF3CD"/>
            <w:vAlign w:val="center"/>
          </w:tcPr>
          <w:p>
            <w:pPr>
              <w:jc w:val="left"/>
            </w:pPr>
            <w:r>
              <w:rPr>
                <w:rFonts w:ascii="Times New Roman" w:hAnsi="Times New Roman"/>
                <w:b w:val="0"/>
                <w:i w:val="0"/>
                <w:sz w:val="18"/>
              </w:rPr>
              <w:t>Unbinned std</w:t>
            </w:r>
          </w:p>
        </w:tc>
        <w:tc>
          <w:tcPr>
            <w:tcW w:type="dxa" w:w="1337"/>
            <w:shd w:val="clear" w:color="auto" w:fill="FFF3CD"/>
            <w:vAlign w:val="center"/>
          </w:tcPr>
          <w:p>
            <w:pPr>
              <w:jc w:val="center"/>
            </w:pPr>
            <w:r>
              <w:rPr>
                <w:rFonts w:ascii="Times New Roman" w:hAnsi="Times New Roman"/>
                <w:b w:val="0"/>
                <w:i w:val="0"/>
                <w:sz w:val="18"/>
              </w:rPr>
              <w:t>20</w:t>
            </w:r>
          </w:p>
        </w:tc>
        <w:tc>
          <w:tcPr>
            <w:tcW w:type="dxa" w:w="1337"/>
            <w:shd w:val="clear" w:color="auto" w:fill="FFF3CD"/>
            <w:vAlign w:val="center"/>
          </w:tcPr>
          <w:p>
            <w:pPr>
              <w:jc w:val="center"/>
            </w:pPr>
            <w:r>
              <w:rPr>
                <w:rFonts w:ascii="Times New Roman" w:hAnsi="Times New Roman"/>
                <w:b w:val="0"/>
                <w:i w:val="0"/>
                <w:sz w:val="18"/>
              </w:rPr>
              <w:t>40</w:t>
            </w:r>
          </w:p>
        </w:tc>
        <w:tc>
          <w:tcPr>
            <w:tcW w:type="dxa" w:w="1337"/>
            <w:shd w:val="clear" w:color="auto" w:fill="FFF3CD"/>
            <w:vAlign w:val="center"/>
          </w:tcPr>
          <w:p>
            <w:pPr>
              <w:jc w:val="center"/>
            </w:pPr>
            <w:r>
              <w:rPr>
                <w:rFonts w:ascii="Times New Roman" w:hAnsi="Times New Roman"/>
                <w:b w:val="0"/>
                <w:i w:val="0"/>
                <w:sz w:val="18"/>
              </w:rPr>
              <w:t>0.2666</w:t>
            </w:r>
          </w:p>
        </w:tc>
        <w:tc>
          <w:tcPr>
            <w:tcW w:type="dxa" w:w="1337"/>
            <w:shd w:val="clear" w:color="auto" w:fill="FFF3CD"/>
            <w:vAlign w:val="center"/>
          </w:tcPr>
          <w:p>
            <w:pPr>
              <w:jc w:val="center"/>
            </w:pPr>
            <w:r>
              <w:rPr>
                <w:rFonts w:ascii="Times New Roman" w:hAnsi="Times New Roman"/>
                <w:b w:val="0"/>
                <w:i w:val="0"/>
                <w:sz w:val="18"/>
              </w:rPr>
              <w:t>+0.0358</w:t>
            </w:r>
          </w:p>
        </w:tc>
        <w:tc>
          <w:tcPr>
            <w:tcW w:type="dxa" w:w="1337"/>
            <w:shd w:val="clear" w:color="auto" w:fill="FFF3CD"/>
            <w:vAlign w:val="center"/>
          </w:tcPr>
          <w:p>
            <w:pPr>
              <w:jc w:val="center"/>
            </w:pPr>
            <w:r>
              <w:rPr>
                <w:rFonts w:ascii="Times New Roman" w:hAnsi="Times New Roman"/>
                <w:b w:val="0"/>
                <w:i w:val="0"/>
                <w:sz w:val="18"/>
              </w:rPr>
              <w:t>+0.796</w:t>
            </w:r>
          </w:p>
        </w:tc>
        <w:tc>
          <w:tcPr>
            <w:tcW w:type="dxa" w:w="1337"/>
            <w:shd w:val="clear" w:color="auto" w:fill="FFF3CD"/>
            <w:vAlign w:val="center"/>
          </w:tcPr>
          <w:p>
            <w:pPr>
              <w:jc w:val="center"/>
            </w:pPr>
            <w:r>
              <w:rPr>
                <w:rFonts w:ascii="Times New Roman" w:hAnsi="Times New Roman"/>
                <w:b w:val="0"/>
                <w:i w:val="0"/>
                <w:sz w:val="18"/>
              </w:rPr>
              <w:t>0.672 [CORE_MID]</w:t>
            </w:r>
          </w:p>
        </w:tc>
      </w:tr>
      <w:tr>
        <w:tc>
          <w:tcPr>
            <w:tcW w:type="dxa" w:w="1337"/>
            <w:shd w:val="clear" w:color="auto" w:fill="FDECEA"/>
            <w:vAlign w:val="center"/>
          </w:tcPr>
          <w:p>
            <w:pPr>
              <w:jc w:val="left"/>
            </w:pPr>
            <w:r>
              <w:rPr>
                <w:rFonts w:ascii="Times New Roman" w:hAnsi="Times New Roman"/>
                <w:b w:val="0"/>
                <w:i w:val="0"/>
                <w:sz w:val="18"/>
              </w:rPr>
              <w:t>Unbinned std</w:t>
            </w:r>
          </w:p>
        </w:tc>
        <w:tc>
          <w:tcPr>
            <w:tcW w:type="dxa" w:w="1337"/>
            <w:shd w:val="clear" w:color="auto" w:fill="FDECEA"/>
            <w:vAlign w:val="center"/>
          </w:tcPr>
          <w:p>
            <w:pPr>
              <w:jc w:val="center"/>
            </w:pPr>
            <w:r>
              <w:rPr>
                <w:rFonts w:ascii="Times New Roman" w:hAnsi="Times New Roman"/>
                <w:b w:val="0"/>
                <w:i w:val="0"/>
                <w:sz w:val="18"/>
              </w:rPr>
              <w:t>75</w:t>
            </w:r>
          </w:p>
        </w:tc>
        <w:tc>
          <w:tcPr>
            <w:tcW w:type="dxa" w:w="1337"/>
            <w:shd w:val="clear" w:color="auto" w:fill="FDECEA"/>
            <w:vAlign w:val="center"/>
          </w:tcPr>
          <w:p>
            <w:pPr>
              <w:jc w:val="center"/>
            </w:pPr>
            <w:r>
              <w:rPr>
                <w:rFonts w:ascii="Times New Roman" w:hAnsi="Times New Roman"/>
                <w:b w:val="0"/>
                <w:i w:val="0"/>
                <w:sz w:val="18"/>
              </w:rPr>
              <w:t>150</w:t>
            </w:r>
          </w:p>
        </w:tc>
        <w:tc>
          <w:tcPr>
            <w:tcW w:type="dxa" w:w="1337"/>
            <w:shd w:val="clear" w:color="auto" w:fill="FDECEA"/>
            <w:vAlign w:val="center"/>
          </w:tcPr>
          <w:p>
            <w:pPr>
              <w:jc w:val="center"/>
            </w:pPr>
            <w:r>
              <w:rPr>
                <w:rFonts w:ascii="Times New Roman" w:hAnsi="Times New Roman"/>
                <w:b w:val="0"/>
                <w:i w:val="0"/>
                <w:sz w:val="18"/>
              </w:rPr>
              <w:t>0.1450</w:t>
            </w:r>
          </w:p>
        </w:tc>
        <w:tc>
          <w:tcPr>
            <w:tcW w:type="dxa" w:w="1337"/>
            <w:shd w:val="clear" w:color="auto" w:fill="FDECEA"/>
            <w:vAlign w:val="center"/>
          </w:tcPr>
          <w:p>
            <w:pPr>
              <w:jc w:val="center"/>
            </w:pPr>
            <w:r>
              <w:rPr>
                <w:rFonts w:ascii="Times New Roman" w:hAnsi="Times New Roman"/>
                <w:b w:val="0"/>
                <w:i w:val="0"/>
                <w:sz w:val="18"/>
              </w:rPr>
              <w:t>−0.0451</w:t>
            </w:r>
          </w:p>
        </w:tc>
        <w:tc>
          <w:tcPr>
            <w:tcW w:type="dxa" w:w="1337"/>
            <w:shd w:val="clear" w:color="auto" w:fill="FDECEA"/>
            <w:vAlign w:val="center"/>
          </w:tcPr>
          <w:p>
            <w:pPr>
              <w:jc w:val="center"/>
            </w:pPr>
            <w:r>
              <w:rPr>
                <w:rFonts w:ascii="Times New Roman" w:hAnsi="Times New Roman"/>
                <w:b w:val="0"/>
                <w:i w:val="0"/>
                <w:sz w:val="18"/>
              </w:rPr>
              <w:t>−0.697</w:t>
            </w:r>
          </w:p>
        </w:tc>
        <w:tc>
          <w:tcPr>
            <w:tcW w:type="dxa" w:w="1337"/>
            <w:shd w:val="clear" w:color="auto" w:fill="FDECEA"/>
            <w:vAlign w:val="center"/>
          </w:tcPr>
          <w:p>
            <w:pPr>
              <w:jc w:val="center"/>
            </w:pPr>
            <w:r>
              <w:rPr>
                <w:rFonts w:ascii="Times New Roman" w:hAnsi="Times New Roman"/>
                <w:b w:val="0"/>
                <w:i w:val="0"/>
                <w:sz w:val="18"/>
              </w:rPr>
              <w:t>0.348 [INELIGIBLE]</w:t>
            </w:r>
          </w:p>
        </w:tc>
      </w:tr>
      <w:tr>
        <w:tc>
          <w:tcPr>
            <w:tcW w:type="dxa" w:w="1337"/>
            <w:shd w:val="clear" w:color="auto" w:fill="FDECEA"/>
            <w:vAlign w:val="center"/>
          </w:tcPr>
          <w:p>
            <w:pPr>
              <w:jc w:val="left"/>
            </w:pPr>
            <w:r>
              <w:rPr>
                <w:rFonts w:ascii="Times New Roman" w:hAnsi="Times New Roman"/>
                <w:b w:val="0"/>
                <w:i w:val="0"/>
                <w:sz w:val="18"/>
              </w:rPr>
              <w:t>Unbinned std</w:t>
            </w:r>
          </w:p>
        </w:tc>
        <w:tc>
          <w:tcPr>
            <w:tcW w:type="dxa" w:w="1337"/>
            <w:shd w:val="clear" w:color="auto" w:fill="FDECEA"/>
            <w:vAlign w:val="center"/>
          </w:tcPr>
          <w:p>
            <w:pPr>
              <w:jc w:val="center"/>
            </w:pPr>
            <w:r>
              <w:rPr>
                <w:rFonts w:ascii="Times New Roman" w:hAnsi="Times New Roman"/>
                <w:b w:val="0"/>
                <w:i w:val="0"/>
                <w:sz w:val="18"/>
              </w:rPr>
              <w:t>200</w:t>
            </w:r>
          </w:p>
        </w:tc>
        <w:tc>
          <w:tcPr>
            <w:tcW w:type="dxa" w:w="1337"/>
            <w:shd w:val="clear" w:color="auto" w:fill="FDECEA"/>
            <w:vAlign w:val="center"/>
          </w:tcPr>
          <w:p>
            <w:pPr>
              <w:jc w:val="center"/>
            </w:pPr>
            <w:r>
              <w:rPr>
                <w:rFonts w:ascii="Times New Roman" w:hAnsi="Times New Roman"/>
                <w:b w:val="0"/>
                <w:i w:val="0"/>
                <w:sz w:val="18"/>
              </w:rPr>
              <w:t>400</w:t>
            </w:r>
          </w:p>
        </w:tc>
        <w:tc>
          <w:tcPr>
            <w:tcW w:type="dxa" w:w="1337"/>
            <w:shd w:val="clear" w:color="auto" w:fill="FDECEA"/>
            <w:vAlign w:val="center"/>
          </w:tcPr>
          <w:p>
            <w:pPr>
              <w:jc w:val="center"/>
            </w:pPr>
            <w:r>
              <w:rPr>
                <w:rFonts w:ascii="Times New Roman" w:hAnsi="Times New Roman"/>
                <w:b w:val="0"/>
                <w:i w:val="0"/>
                <w:sz w:val="18"/>
              </w:rPr>
              <w:t>0.1129</w:t>
            </w:r>
          </w:p>
        </w:tc>
        <w:tc>
          <w:tcPr>
            <w:tcW w:type="dxa" w:w="1337"/>
            <w:shd w:val="clear" w:color="auto" w:fill="FDECEA"/>
            <w:vAlign w:val="center"/>
          </w:tcPr>
          <w:p>
            <w:pPr>
              <w:jc w:val="center"/>
            </w:pPr>
            <w:r>
              <w:rPr>
                <w:rFonts w:ascii="Times New Roman" w:hAnsi="Times New Roman"/>
                <w:b w:val="0"/>
                <w:i w:val="0"/>
                <w:sz w:val="18"/>
              </w:rPr>
              <w:t>−0.0029</w:t>
            </w:r>
          </w:p>
        </w:tc>
        <w:tc>
          <w:tcPr>
            <w:tcW w:type="dxa" w:w="1337"/>
            <w:shd w:val="clear" w:color="auto" w:fill="FDECEA"/>
            <w:vAlign w:val="center"/>
          </w:tcPr>
          <w:p>
            <w:pPr>
              <w:jc w:val="center"/>
            </w:pPr>
            <w:r>
              <w:rPr>
                <w:rFonts w:ascii="Times New Roman" w:hAnsi="Times New Roman"/>
                <w:b w:val="0"/>
                <w:i w:val="0"/>
                <w:sz w:val="18"/>
              </w:rPr>
              <w:t>−0.049</w:t>
            </w:r>
          </w:p>
        </w:tc>
        <w:tc>
          <w:tcPr>
            <w:tcW w:type="dxa" w:w="1337"/>
            <w:shd w:val="clear" w:color="auto" w:fill="FDECEA"/>
            <w:vAlign w:val="center"/>
          </w:tcPr>
          <w:p>
            <w:pPr>
              <w:jc w:val="center"/>
            </w:pPr>
            <w:r>
              <w:rPr>
                <w:rFonts w:ascii="Times New Roman" w:hAnsi="Times New Roman"/>
                <w:b w:val="0"/>
                <w:i w:val="0"/>
                <w:sz w:val="18"/>
              </w:rPr>
              <w:t>0.489 [INELIGIBLE]</w:t>
            </w:r>
          </w:p>
        </w:tc>
      </w:tr>
      <w:tr>
        <w:tc>
          <w:tcPr>
            <w:tcW w:type="dxa" w:w="1337"/>
            <w:shd w:val="clear" w:color="auto" w:fill="FFF3CD"/>
            <w:vAlign w:val="center"/>
          </w:tcPr>
          <w:p>
            <w:pPr>
              <w:jc w:val="left"/>
            </w:pPr>
            <w:r>
              <w:rPr>
                <w:rFonts w:ascii="Times New Roman" w:hAnsi="Times New Roman"/>
                <w:b w:val="0"/>
                <w:i w:val="0"/>
                <w:sz w:val="18"/>
              </w:rPr>
              <w:t>Binned std</w:t>
            </w:r>
          </w:p>
        </w:tc>
        <w:tc>
          <w:tcPr>
            <w:tcW w:type="dxa" w:w="1337"/>
            <w:shd w:val="clear" w:color="auto" w:fill="FFF3CD"/>
            <w:vAlign w:val="center"/>
          </w:tcPr>
          <w:p>
            <w:pPr>
              <w:jc w:val="center"/>
            </w:pPr>
            <w:r>
              <w:rPr>
                <w:rFonts w:ascii="Times New Roman" w:hAnsi="Times New Roman"/>
                <w:b w:val="0"/>
                <w:i w:val="0"/>
                <w:sz w:val="18"/>
              </w:rPr>
              <w:t>5</w:t>
            </w:r>
          </w:p>
        </w:tc>
        <w:tc>
          <w:tcPr>
            <w:tcW w:type="dxa" w:w="1337"/>
            <w:shd w:val="clear" w:color="auto" w:fill="FFF3CD"/>
            <w:vAlign w:val="center"/>
          </w:tcPr>
          <w:p>
            <w:pPr>
              <w:jc w:val="center"/>
            </w:pPr>
            <w:r>
              <w:rPr>
                <w:rFonts w:ascii="Times New Roman" w:hAnsi="Times New Roman"/>
                <w:b w:val="0"/>
                <w:i w:val="0"/>
                <w:sz w:val="18"/>
              </w:rPr>
              <w:t>10</w:t>
            </w:r>
          </w:p>
        </w:tc>
        <w:tc>
          <w:tcPr>
            <w:tcW w:type="dxa" w:w="1337"/>
            <w:shd w:val="clear" w:color="auto" w:fill="FFF3CD"/>
            <w:vAlign w:val="center"/>
          </w:tcPr>
          <w:p>
            <w:pPr>
              <w:jc w:val="center"/>
            </w:pPr>
            <w:r>
              <w:rPr>
                <w:rFonts w:ascii="Times New Roman" w:hAnsi="Times New Roman"/>
                <w:b w:val="0"/>
                <w:i w:val="0"/>
                <w:sz w:val="18"/>
              </w:rPr>
              <w:t>0.1958</w:t>
            </w:r>
          </w:p>
        </w:tc>
        <w:tc>
          <w:tcPr>
            <w:tcW w:type="dxa" w:w="1337"/>
            <w:shd w:val="clear" w:color="auto" w:fill="FFF3CD"/>
            <w:vAlign w:val="center"/>
          </w:tcPr>
          <w:p>
            <w:pPr>
              <w:jc w:val="center"/>
            </w:pPr>
            <w:r>
              <w:rPr>
                <w:rFonts w:ascii="Times New Roman" w:hAnsi="Times New Roman"/>
                <w:b w:val="0"/>
                <w:i w:val="0"/>
                <w:sz w:val="18"/>
              </w:rPr>
              <w:t>+0.0378</w:t>
            </w:r>
          </w:p>
        </w:tc>
        <w:tc>
          <w:tcPr>
            <w:tcW w:type="dxa" w:w="1337"/>
            <w:shd w:val="clear" w:color="auto" w:fill="FFF3CD"/>
            <w:vAlign w:val="center"/>
          </w:tcPr>
          <w:p>
            <w:pPr>
              <w:jc w:val="center"/>
            </w:pPr>
            <w:r>
              <w:rPr>
                <w:rFonts w:ascii="Times New Roman" w:hAnsi="Times New Roman"/>
                <w:b w:val="0"/>
                <w:i w:val="0"/>
                <w:sz w:val="18"/>
              </w:rPr>
              <w:t>+0.306</w:t>
            </w:r>
          </w:p>
        </w:tc>
        <w:tc>
          <w:tcPr>
            <w:tcW w:type="dxa" w:w="1337"/>
            <w:shd w:val="clear" w:color="auto" w:fill="FFF3CD"/>
            <w:vAlign w:val="center"/>
          </w:tcPr>
          <w:p>
            <w:pPr>
              <w:jc w:val="center"/>
            </w:pPr>
            <w:r>
              <w:rPr>
                <w:rFonts w:ascii="Times New Roman" w:hAnsi="Times New Roman"/>
                <w:b w:val="0"/>
                <w:i w:val="0"/>
                <w:sz w:val="18"/>
              </w:rPr>
              <w:t>0.569 [TACTICAL]</w:t>
            </w:r>
          </w:p>
        </w:tc>
      </w:tr>
      <w:tr>
        <w:tc>
          <w:tcPr>
            <w:tcW w:type="dxa" w:w="1337"/>
            <w:shd w:val="clear" w:color="auto" w:fill="EAF4EA"/>
            <w:vAlign w:val="center"/>
          </w:tcPr>
          <w:p>
            <w:pPr>
              <w:jc w:val="left"/>
            </w:pPr>
            <w:r>
              <w:rPr>
                <w:rFonts w:ascii="Times New Roman" w:hAnsi="Times New Roman"/>
                <w:b w:val="0"/>
                <w:i w:val="0"/>
                <w:sz w:val="18"/>
              </w:rPr>
              <w:t>Binned std</w:t>
            </w:r>
          </w:p>
        </w:tc>
        <w:tc>
          <w:tcPr>
            <w:tcW w:type="dxa" w:w="1337"/>
            <w:shd w:val="clear" w:color="auto" w:fill="EAF4EA"/>
            <w:vAlign w:val="center"/>
          </w:tcPr>
          <w:p>
            <w:pPr>
              <w:jc w:val="center"/>
            </w:pPr>
            <w:r>
              <w:rPr>
                <w:rFonts w:ascii="Times New Roman" w:hAnsi="Times New Roman"/>
                <w:b w:val="0"/>
                <w:i w:val="0"/>
                <w:sz w:val="18"/>
              </w:rPr>
              <w:t>15</w:t>
            </w:r>
          </w:p>
        </w:tc>
        <w:tc>
          <w:tcPr>
            <w:tcW w:type="dxa" w:w="1337"/>
            <w:shd w:val="clear" w:color="auto" w:fill="EAF4EA"/>
            <w:vAlign w:val="center"/>
          </w:tcPr>
          <w:p>
            <w:pPr>
              <w:jc w:val="center"/>
            </w:pPr>
            <w:r>
              <w:rPr>
                <w:rFonts w:ascii="Times New Roman" w:hAnsi="Times New Roman"/>
                <w:b w:val="0"/>
                <w:i w:val="0"/>
                <w:sz w:val="18"/>
              </w:rPr>
              <w:t>25</w:t>
            </w:r>
          </w:p>
        </w:tc>
        <w:tc>
          <w:tcPr>
            <w:tcW w:type="dxa" w:w="1337"/>
            <w:shd w:val="clear" w:color="auto" w:fill="EAF4EA"/>
            <w:vAlign w:val="center"/>
          </w:tcPr>
          <w:p>
            <w:pPr>
              <w:jc w:val="center"/>
            </w:pPr>
            <w:r>
              <w:rPr>
                <w:rFonts w:ascii="Times New Roman" w:hAnsi="Times New Roman"/>
                <w:b w:val="0"/>
                <w:i w:val="0"/>
                <w:sz w:val="18"/>
              </w:rPr>
              <w:t>0.2360</w:t>
            </w:r>
          </w:p>
        </w:tc>
        <w:tc>
          <w:tcPr>
            <w:tcW w:type="dxa" w:w="1337"/>
            <w:shd w:val="clear" w:color="auto" w:fill="EAF4EA"/>
            <w:vAlign w:val="center"/>
          </w:tcPr>
          <w:p>
            <w:pPr>
              <w:jc w:val="center"/>
            </w:pPr>
            <w:r>
              <w:rPr>
                <w:rFonts w:ascii="Times New Roman" w:hAnsi="Times New Roman"/>
                <w:b w:val="0"/>
                <w:i w:val="0"/>
                <w:sz w:val="18"/>
              </w:rPr>
              <w:t>+0.1387</w:t>
            </w:r>
          </w:p>
        </w:tc>
        <w:tc>
          <w:tcPr>
            <w:tcW w:type="dxa" w:w="1337"/>
            <w:shd w:val="clear" w:color="auto" w:fill="EAF4EA"/>
            <w:vAlign w:val="center"/>
          </w:tcPr>
          <w:p>
            <w:pPr>
              <w:jc w:val="center"/>
            </w:pPr>
            <w:r>
              <w:rPr>
                <w:rFonts w:ascii="Times New Roman" w:hAnsi="Times New Roman"/>
                <w:b w:val="0"/>
                <w:i w:val="0"/>
                <w:sz w:val="18"/>
              </w:rPr>
              <w:t>+1.300</w:t>
            </w:r>
          </w:p>
        </w:tc>
        <w:tc>
          <w:tcPr>
            <w:tcW w:type="dxa" w:w="1337"/>
            <w:shd w:val="clear" w:color="auto" w:fill="EAF4EA"/>
            <w:vAlign w:val="center"/>
          </w:tcPr>
          <w:p>
            <w:pPr>
              <w:jc w:val="center"/>
            </w:pPr>
            <w:r>
              <w:rPr>
                <w:rFonts w:ascii="Times New Roman" w:hAnsi="Times New Roman"/>
                <w:b w:val="0"/>
                <w:i w:val="0"/>
                <w:sz w:val="18"/>
              </w:rPr>
              <w:t>0.763 [CORE]</w:t>
            </w:r>
          </w:p>
        </w:tc>
      </w:tr>
    </w:tbl>
    <w:p>
      <w:pPr>
        <w:spacing w:before="80" w:after="200" w:line="360" w:lineRule="exact"/>
        <w:jc w:val="both"/>
      </w:pPr>
      <w:r>
        <w:rPr>
          <w:rFonts w:ascii="Times New Roman" w:hAnsi="Times New Roman"/>
          <w:b w:val="0"/>
          <w:i w:val="0"/>
          <w:sz w:val="24"/>
        </w:rPr>
        <w:t>Table 2. SCI results for standardized residuals δD_l/σ_l. Yellow = ambiguous. Red = INELIGIBLE. Green = positive but with caveats (see text).</w:t>
      </w:r>
    </w:p>
    <w:p>
      <w:pPr>
        <w:spacing w:before="120" w:after="120" w:line="360" w:lineRule="exact"/>
        <w:jc w:val="both"/>
      </w:pPr>
      <w:r>
        <w:rPr>
          <w:rFonts w:ascii="Times New Roman" w:hAnsi="Times New Roman"/>
          <w:b w:val="0"/>
          <w:i w:val="0"/>
          <w:sz w:val="24"/>
        </w:rPr>
        <w:t>The two results most relevant to the Oscillatory Arrow claim are the acoustic-scale (W=75, L=150) and broad-scale (W=200, L=400) unbinned runs. Both are INELIGIBLE: z=−0.70 and z=−0.05 respectively. These are the scales at which cosmological organized modulation would be expected to appear if the Oscillatory Arrow hypothesis is correct. Their null result is direct evidence against organized amplitude modulation at cosmologically relevant scales in the CMB residuals.</w:t>
      </w:r>
    </w:p>
    <w:p>
      <w:pPr>
        <w:spacing w:before="200" w:after="120"/>
      </w:pPr>
      <w:r>
        <w:rPr>
          <w:rFonts w:ascii="Times New Roman" w:hAnsi="Times New Roman"/>
          <w:b/>
          <w:i w:val="0"/>
          <w:sz w:val="26"/>
        </w:rPr>
        <w:t>3.3 The Fine-Scale Positive (W=20, L=40, z=+0.80)</w:t>
      </w:r>
    </w:p>
    <w:p>
      <w:pPr>
        <w:spacing w:before="120" w:after="120" w:line="360" w:lineRule="exact"/>
        <w:jc w:val="both"/>
      </w:pPr>
      <w:r>
        <w:rPr>
          <w:rFonts w:ascii="Times New Roman" w:hAnsi="Times New Roman"/>
          <w:b w:val="0"/>
          <w:i w:val="0"/>
          <w:sz w:val="24"/>
        </w:rPr>
        <w:t>At fine scale (W=20, L=40), standardized residuals show a weak positive SCI=0.672, z=+0.80. This is above the INELIGIBLE threshold but below CORE (0.75). Three candidate explanations for this signal, in order of likelihood:</w:t>
      </w:r>
    </w:p>
    <w:p>
      <w:pPr>
        <w:spacing w:before="60" w:after="60"/>
        <w:ind w:left="432"/>
      </w:pPr>
      <w:r>
        <w:rPr>
          <w:rFonts w:ascii="Times New Roman" w:hAnsi="Times New Roman"/>
          <w:b w:val="0"/>
          <w:i w:val="0"/>
          <w:sz w:val="22"/>
        </w:rPr>
        <w:t>1. Planck noise correlations (most likely): The Planck TT likelihood uses a complex data processing pipeline (pseudo-C_l estimation, mask power leakage correction, beam window function deconvolution). Adjacent multipoles are not independent — the noise covariance matrix has off-diagonal terms at small separations Δl. These correlations create adjacent-multipole envelope coherence at exactly the scale W=20, L=40 would detect.</w:t>
      </w:r>
    </w:p>
    <w:p>
      <w:pPr>
        <w:spacing w:before="60" w:after="60"/>
        <w:ind w:left="432"/>
      </w:pPr>
      <w:r>
        <w:rPr>
          <w:rFonts w:ascii="Times New Roman" w:hAnsi="Times New Roman"/>
          <w:b w:val="0"/>
          <w:i w:val="0"/>
          <w:sz w:val="22"/>
        </w:rPr>
        <w:t>2. Residual foreground contamination (possible): Point source and dust foreground subtraction is imperfect. Residual foreground power, if correlated across l at fine scales, could produce a weak positive SCI signal.</w:t>
      </w:r>
    </w:p>
    <w:p>
      <w:pPr>
        <w:spacing w:before="60" w:after="60"/>
        <w:ind w:left="432"/>
      </w:pPr>
      <w:r>
        <w:rPr>
          <w:rFonts w:ascii="Times New Roman" w:hAnsi="Times New Roman"/>
          <w:b w:val="0"/>
          <w:i w:val="0"/>
          <w:sz w:val="22"/>
        </w:rPr>
        <w:t>3. Genuine non-ΛCDM structure (least likely): Modulated primordial oscillations (e.g., from axion monodromy inflation, cosmic string resonances, or oscillatory features in the inflaton potential) would appear as fine-scale correlated residuals. The signal is too weak (z=0.80) and at too fine a scale to distinguish from the above explanations without a dedicated noise model.</w:t>
      </w:r>
    </w:p>
    <w:p>
      <w:pPr>
        <w:spacing w:before="200" w:after="120"/>
      </w:pPr>
      <w:r>
        <w:rPr>
          <w:rFonts w:ascii="Times New Roman" w:hAnsi="Times New Roman"/>
          <w:b/>
          <w:i w:val="0"/>
          <w:sz w:val="26"/>
        </w:rPr>
        <w:t>3.4 Binned Analysis Caveat</w:t>
      </w:r>
    </w:p>
    <w:p>
      <w:pPr>
        <w:spacing w:before="120" w:after="120" w:line="360" w:lineRule="exact"/>
        <w:jc w:val="both"/>
      </w:pPr>
      <w:r>
        <w:rPr>
          <w:rFonts w:ascii="Times New Roman" w:hAnsi="Times New Roman"/>
          <w:b w:val="0"/>
          <w:i w:val="0"/>
          <w:sz w:val="24"/>
        </w:rPr>
        <w:t>The 83-bin analysis at W=15, L=25 scores CORE (z=1.30, SCI=0.763). This result should be treated with caution. With N=83 points and a window W=15, each envelope estimate covers ~18% of the series — a regime where edge effects and the finite-series Hilbert transform approximation are unreliable. The binned spectrum also substantially compresses information (83 bins vs. 2507 multipoles) while the binning procedure itself introduces inter-bin correlations. This result is not used as evidence for or against the hypothesis.</w:t>
      </w:r>
    </w:p>
    <w:p>
      <w:pPr>
        <w:spacing w:before="280" w:after="120"/>
      </w:pPr>
      <w:r>
        <w:rPr>
          <w:rFonts w:ascii="Times New Roman" w:hAnsi="Times New Roman"/>
          <w:b/>
          <w:i w:val="0"/>
          <w:sz w:val="28"/>
        </w:rPr>
        <w:t>4. Discussion</w:t>
      </w:r>
    </w:p>
    <w:p>
      <w:pPr>
        <w:spacing w:before="200" w:after="120"/>
      </w:pPr>
      <w:r>
        <w:rPr>
          <w:rFonts w:ascii="Times New Roman" w:hAnsi="Times New Roman"/>
          <w:b/>
          <w:i w:val="0"/>
          <w:sz w:val="26"/>
        </w:rPr>
        <w:t>4.1 Verdict on the Oscillatory Arrow at CMB Scales</w:t>
      </w:r>
    </w:p>
    <w:p>
      <w:pPr>
        <w:spacing w:before="120" w:after="120" w:line="360" w:lineRule="exact"/>
        <w:jc w:val="both"/>
      </w:pPr>
      <w:r>
        <w:rPr>
          <w:rFonts w:ascii="Times New Roman" w:hAnsi="Times New Roman"/>
          <w:b w:val="0"/>
          <w:i w:val="0"/>
          <w:sz w:val="24"/>
        </w:rPr>
        <w:t>The standardized residual analysis — the only analysis not subject to the acoustic confound — shows INELIGIBLE SCI at the acoustic and broad scales that would be relevant to cosmological organized modulation. This is evidence against the Oscillatory Arrow of Time hypothesis as a claim about CMB-scale amplitude modulation. The null hypothesis (residuals are consistent with noise) is not rejected at the scales that matter.</w:t>
      </w:r>
    </w:p>
    <w:p>
      <w:pPr>
        <w:spacing w:before="120" w:after="120" w:line="360" w:lineRule="exact"/>
        <w:jc w:val="both"/>
      </w:pPr>
      <w:r>
        <w:rPr>
          <w:rFonts w:ascii="Times New Roman" w:hAnsi="Times New Roman"/>
          <w:b w:val="0"/>
          <w:i w:val="0"/>
          <w:sz w:val="24"/>
        </w:rPr>
        <w:t>This falsification is appropriately scoped. The result does not rule out oscillatory dynamics at other scales or in other observables. The CMB TT power spectrum is sensitive to a specific set of physical processes (primordial fluctuations, acoustic oscillations, reionization, lensing). Other cosmological observables — galaxy clustering entropy at low redshift, cosmic void evolution, 21-cm fluctuations — could in principle carry different signals. The CMB test is the most precise available measurement, and its null result is a significant constraint.</w:t>
      </w:r>
    </w:p>
    <w:p>
      <w:pPr>
        <w:spacing w:before="200" w:after="120"/>
      </w:pPr>
      <w:r>
        <w:rPr>
          <w:rFonts w:ascii="Times New Roman" w:hAnsi="Times New Roman"/>
          <w:b/>
          <w:i w:val="0"/>
          <w:sz w:val="26"/>
        </w:rPr>
        <w:t>4.2 What Would Constitute Positive Evidence</w:t>
      </w:r>
    </w:p>
    <w:p>
      <w:pPr>
        <w:spacing w:before="120" w:after="120" w:line="360" w:lineRule="exact"/>
        <w:jc w:val="both"/>
      </w:pPr>
      <w:r>
        <w:rPr>
          <w:rFonts w:ascii="Times New Roman" w:hAnsi="Times New Roman"/>
          <w:b w:val="0"/>
          <w:i w:val="0"/>
          <w:sz w:val="24"/>
        </w:rPr>
        <w:t>A convincing positive result would require: (1) Standardized residuals scoring CORE (z &gt; 2.5, SCI &gt; 0.88) at the acoustic or broad scale (W=75 or W=200), (2) the same result appearing in multiple independent CMB datasets (WMAP, ACT, SPT), (3) the result persisting after alternative foreground models and mask choices, and (4) the signal being stronger in temperature than in E-mode polarization, consistent with the primordial scalar perturbation channel where the Oscillatory Arrow would most naturally leave an imprint.</w:t>
      </w:r>
    </w:p>
    <w:p>
      <w:pPr>
        <w:spacing w:before="200" w:after="120"/>
      </w:pPr>
      <w:r>
        <w:rPr>
          <w:rFonts w:ascii="Times New Roman" w:hAnsi="Times New Roman"/>
          <w:b/>
          <w:i w:val="0"/>
          <w:sz w:val="26"/>
        </w:rPr>
        <w:t>4.3 The Lab Test Remains Open</w:t>
      </w:r>
    </w:p>
    <w:p>
      <w:pPr>
        <w:spacing w:before="120" w:after="120" w:line="360" w:lineRule="exact"/>
        <w:jc w:val="both"/>
      </w:pPr>
      <w:r>
        <w:rPr>
          <w:rFonts w:ascii="Times New Roman" w:hAnsi="Times New Roman"/>
          <w:b w:val="0"/>
          <w:i w:val="0"/>
          <w:sz w:val="24"/>
        </w:rPr>
        <w:t>The Floquet-system bench-top test proposed alongside this analysis remains untested and is not constrained by the CMB result. If the Oscillatory Arrow operates as a local information-theoretic or quantum mechanical principle rather than as a cosmological large-scale structure effect, the CMB would not be the right observable. Floquet matter experiments — periodically driven quantum systems where entropy proxy time-evolution can be measured with high precision — represent an independent, cleaner test channel that is not subject to the noise and foreground complications of CMB analysis.</w:t>
      </w:r>
    </w:p>
    <w:p>
      <w:pPr>
        <w:spacing w:before="280" w:after="120"/>
      </w:pPr>
      <w:r>
        <w:rPr>
          <w:rFonts w:ascii="Times New Roman" w:hAnsi="Times New Roman"/>
          <w:b/>
          <w:i w:val="0"/>
          <w:sz w:val="28"/>
        </w:rPr>
        <w:t>5. Conclusion</w:t>
      </w:r>
    </w:p>
    <w:p>
      <w:pPr>
        <w:spacing w:before="120" w:after="120" w:line="360" w:lineRule="exact"/>
        <w:jc w:val="both"/>
      </w:pPr>
      <w:r>
        <w:rPr>
          <w:rFonts w:ascii="Times New Roman" w:hAnsi="Times New Roman"/>
          <w:b w:val="0"/>
          <w:i w:val="0"/>
          <w:sz w:val="24"/>
        </w:rPr>
        <w:t>SCI applied to Planck 2018 CMB TT power spectrum residuals (δD_l = D_l^obs − D_l^ΛCDM, standardized by error bars) scores INELIGIBLE at the acoustic scale (W=75, L=150: z=−0.70) and at the broad scale (W=200, L=400: z=−0.05). A weak fine-scale positive signal (W=20, L=40: z=+0.80) is most likely attributable to Planck's known noise correlations from the data reduction pipeline.</w:t>
      </w:r>
    </w:p>
    <w:p>
      <w:pPr>
        <w:spacing w:before="120" w:after="120" w:line="360" w:lineRule="exact"/>
        <w:jc w:val="both"/>
      </w:pPr>
      <w:r>
        <w:rPr>
          <w:rFonts w:ascii="Times New Roman" w:hAnsi="Times New Roman"/>
          <w:b w:val="0"/>
          <w:i w:val="0"/>
          <w:sz w:val="24"/>
        </w:rPr>
        <w:t>Raw residuals in μK² score CORE (z=6.0) at all scales, but this is identified as a confound: the acoustic peak structure of the error bars σ_l imprints amplitude modulation on the raw residuals that is unrelated to any non-ΛCDM physics. Only standardized residuals constitute a valid test.</w:t>
      </w:r>
    </w:p>
    <w:p>
      <w:pPr>
        <w:spacing w:before="120" w:after="120" w:line="360" w:lineRule="exact"/>
        <w:jc w:val="both"/>
      </w:pPr>
      <w:r>
        <w:rPr>
          <w:rFonts w:ascii="Times New Roman" w:hAnsi="Times New Roman"/>
          <w:b w:val="0"/>
          <w:i w:val="0"/>
          <w:sz w:val="24"/>
        </w:rPr>
        <w:t>The overall result is that the Planck 2018 CMB residuals are consistent with noise at cosmologically relevant scales. This represents evidence against the Oscillatory Arrow of Time as a CMB-scale phenomenon, while leaving open the possibility of the hypothesis operating at other scales, in other observables, or through laboratory quantum systems.</w:t>
      </w:r>
    </w:p>
    <w:p>
      <w:r>
        <w:br w:type="page"/>
      </w:r>
    </w:p>
    <w:p>
      <w:pPr>
        <w:spacing w:before="280" w:after="120"/>
      </w:pPr>
      <w:r>
        <w:rPr>
          <w:rFonts w:ascii="Times New Roman" w:hAnsi="Times New Roman"/>
          <w:b/>
          <w:i w:val="0"/>
          <w:sz w:val="28"/>
        </w:rPr>
        <w:t>Appendix: Data and Reproduction</w:t>
      </w:r>
    </w:p>
    <w:p>
      <w:pPr>
        <w:spacing w:before="120" w:after="120" w:line="360" w:lineRule="exact"/>
        <w:jc w:val="both"/>
      </w:pPr>
      <w:r>
        <w:rPr>
          <w:rFonts w:ascii="Times New Roman" w:hAnsi="Times New Roman"/>
          <w:b w:val="0"/>
          <w:i w:val="0"/>
          <w:sz w:val="24"/>
        </w:rPr>
        <w:t>Data (public, no registration required):</w:t>
      </w:r>
    </w:p>
    <w:p>
      <w:pPr>
        <w:spacing w:before="80" w:after="80"/>
        <w:ind w:left="576"/>
        <w:shd w:val="clear" w:color="auto" w:fill="F2F2F2"/>
      </w:pPr>
      <w:r>
        <w:rPr>
          <w:rFonts w:ascii="Courier New" w:hAnsi="Courier New"/>
          <w:b w:val="0"/>
          <w:i w:val="0"/>
          <w:sz w:val="18"/>
        </w:rPr>
        <w:t>BASE=https://irsa.ipac.caltech.edu/data/Planck/release_3/ancillary-data/cosmoparams</w:t>
        <w:br/>
        <w:t>curl $BASE/COM_PowerSpect_CMB-TT-full_R3.01.txt -o planck_TT_full.txt</w:t>
        <w:br/>
        <w:t>curl $BASE/COM_PowerSpect_CMB-base-plikHM-TTTEEE-lowl-lowE-lensing-minimum-theory_R3.01.txt \</w:t>
        <w:br/>
        <w:t xml:space="preserve">     -o planck_theory.txt</w:t>
        <w:br/>
        <w:t>curl $BASE/COM_PowerSpect_CMB-TT-binned_R3.01.txt -o planck_TT_binned.txt</w:t>
      </w:r>
    </w:p>
    <w:p>
      <w:pPr>
        <w:spacing w:before="120" w:after="120" w:line="360" w:lineRule="exact"/>
        <w:jc w:val="both"/>
      </w:pPr>
      <w:r>
        <w:rPr>
          <w:rFonts w:ascii="Times New Roman" w:hAnsi="Times New Roman"/>
          <w:b w:val="0"/>
          <w:i w:val="0"/>
          <w:sz w:val="24"/>
        </w:rPr>
        <w:t>Run the analysis:</w:t>
      </w:r>
    </w:p>
    <w:p>
      <w:pPr>
        <w:spacing w:before="80" w:after="80"/>
        <w:ind w:left="576"/>
        <w:shd w:val="clear" w:color="auto" w:fill="F2F2F2"/>
      </w:pPr>
      <w:r>
        <w:rPr>
          <w:rFonts w:ascii="Courier New" w:hAnsi="Courier New"/>
          <w:b w:val="0"/>
          <w:i w:val="0"/>
          <w:sz w:val="18"/>
        </w:rPr>
        <w:t>cd '/Users/parkerlee/Desktop/If Im Right/SCI_Project'</w:t>
        <w:br/>
        <w:t>python3 scripts/sci_cmb_residuals_v1.py</w:t>
        <w:br/>
        <w:t># Outputs: results/cmb_residuals_v1/</w:t>
      </w:r>
    </w:p>
    <w:p>
      <w:pPr>
        <w:spacing w:before="120" w:after="120" w:line="360" w:lineRule="exact"/>
        <w:jc w:val="both"/>
      </w:pPr>
      <w:r>
        <w:rPr>
          <w:rFonts w:ascii="Times New Roman" w:hAnsi="Times New Roman"/>
          <w:b w:val="0"/>
          <w:i w:val="0"/>
          <w:sz w:val="24"/>
        </w:rPr>
        <w:t>SCI engine: sci_score_v3.py (project root). Packages: numpy, scipy, matplotlib, astropy 7.2.0, camb, healpy. Python 3.14.</w:t>
      </w:r>
    </w:p>
    <w:p>
      <w:pPr>
        <w:spacing w:before="120" w:after="120" w:line="360" w:lineRule="exact"/>
        <w:jc w:val="both"/>
      </w:pPr>
      <w:r>
        <w:rPr>
          <w:rFonts w:ascii="Times New Roman" w:hAnsi="Times New Roman"/>
          <w:b w:val="0"/>
          <w:i w:val="0"/>
          <w:sz w:val="24"/>
        </w:rPr>
        <w:t>Key result files: sci_results.csv (all SCI scores), summary.txt, plots/cmb_residuals_sci.png, plots/hilbert_envelope.png.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