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0"/>
        </w:rPr>
        <w:t>The Regime Transition Test: Rolling SCI on Bitcoin Daily Returns (2017–2026)</w:t>
      </w:r>
    </w:p>
    <w:p>
      <w:pPr>
        <w:spacing w:before="20" w:after="20"/>
        <w:jc w:val="center"/>
      </w:pPr>
      <w:r>
        <w:rPr>
          <w:rFonts w:ascii="Times New Roman" w:hAnsi="Times New Roman"/>
          <w:b w:val="0"/>
          <w:i/>
          <w:sz w:val="22"/>
        </w:rPr>
        <w:t>Parker J. Lee</w:t>
      </w:r>
    </w:p>
    <w:p>
      <w:pPr>
        <w:spacing w:before="20" w:after="20"/>
        <w:jc w:val="center"/>
      </w:pPr>
      <w:r>
        <w:rPr>
          <w:rFonts w:ascii="Times New Roman" w:hAnsi="Times New Roman"/>
          <w:b w:val="0"/>
          <w:i/>
          <w:sz w:val="22"/>
        </w:rPr>
        <w:t>Independent Researcher · Nashville, TN</w:t>
      </w:r>
    </w:p>
    <w:p>
      <w:pPr>
        <w:spacing w:before="20" w:after="20"/>
        <w:jc w:val="center"/>
      </w:pPr>
      <w:r>
        <w:rPr>
          <w:rFonts w:ascii="Times New Roman" w:hAnsi="Times New Roman"/>
          <w:b w:val="0"/>
          <w:i/>
          <w:sz w:val="22"/>
        </w:rPr>
        <w:t>US Provisional Patent Application 63/904,444</w:t>
      </w:r>
    </w:p>
    <w:p>
      <w:pPr>
        <w:spacing w:before="20" w:after="20"/>
        <w:jc w:val="center"/>
      </w:pPr>
      <w:r>
        <w:rPr>
          <w:rFonts w:ascii="Times New Roman" w:hAnsi="Times New Roman"/>
          <w:b w:val="0"/>
          <w:i w:val="0"/>
          <w:sz w:val="22"/>
        </w:rPr>
        <w:t>2026-05-14</w:t>
      </w:r>
    </w:p>
    <w:p/>
    <w:p>
      <w:pPr>
        <w:spacing w:before="280" w:after="120"/>
      </w:pPr>
      <w:r>
        <w:rPr>
          <w:rFonts w:ascii="Times New Roman" w:hAnsi="Times New Roman"/>
          <w:b/>
          <w:i w:val="0"/>
          <w:sz w:val="28"/>
        </w:rPr>
        <w:t>Abstract</w:t>
      </w:r>
    </w:p>
    <w:p>
      <w:pPr>
        <w:spacing w:before="120" w:after="120" w:line="360" w:lineRule="exact"/>
        <w:jc w:val="both"/>
      </w:pPr>
      <w:r>
        <w:rPr>
          <w:rFonts w:ascii="Times New Roman" w:hAnsi="Times New Roman"/>
          <w:b w:val="0"/>
          <w:i w:val="0"/>
          <w:sz w:val="24"/>
        </w:rPr>
        <w:t>We tested the hypothesis that Bitcoin's 90-day rolling Structural Coherence Index (SCI) rises toward CORE levels (&gt;0.75) during periods of elevated institutional participation and falls during retail-dominated or regulatory-crisis regimes. The prediction was directly falsified: institutional periods produced a lower mean SCI (0.608) than retail/crisis periods (0.676), a statistically significant reversal (t=−9.07, p&lt;10⁻¹⁸, d=−0.33). The highest-SCI epoch in the entire 2017–2026 record was the pre-futures retail era (2017-01 to 2017-12-16, mean SCI=0.801, 76% CORE-classified). The revised interpretation is that SCI detects structural coherence regardless of its mechanistic source. In mature equity markets, institutions generate coherence through ETF rebalancing and macro feedback. In Bitcoin, retail speculative herding generates coherence through momentum synchrony. Institutional entry into Bitcoin brings arbitrage and derivatives structures that fragment herding dynamics and reduce coherence — the inverse of the equity mechanism. The result reframes SCI as an instrument for detecting any regime of structural coherence, whether driven by institutional feedback loops or by retail speculative synchrony, and suggests that the two mechanisms are distinguishable through their temporal fingerprints.</w:t>
      </w:r>
    </w:p>
    <w:p>
      <w:pPr>
        <w:spacing w:before="280" w:after="120"/>
      </w:pPr>
      <w:r>
        <w:rPr>
          <w:rFonts w:ascii="Times New Roman" w:hAnsi="Times New Roman"/>
          <w:b/>
          <w:i w:val="0"/>
          <w:sz w:val="28"/>
        </w:rPr>
        <w:t>1. Background and Prediction</w:t>
      </w:r>
    </w:p>
    <w:p>
      <w:pPr>
        <w:spacing w:before="120" w:after="120" w:line="360" w:lineRule="exact"/>
        <w:jc w:val="both"/>
      </w:pPr>
      <w:r>
        <w:rPr>
          <w:rFonts w:ascii="Times New Roman" w:hAnsi="Times New Roman"/>
          <w:b w:val="0"/>
          <w:i w:val="0"/>
          <w:sz w:val="24"/>
        </w:rPr>
        <w:t>In cross-domain validation, Bitcoin daily returns classify as hard INELIGIBLE (SCI=0.096, z=−2.49) when scored against the full universe of 1,339 financial instruments. Equity indices and individual stocks in the CORE bucket reach the z=6.0 ceiling. The proposed explanation for this gap is the absence of institutional feedback infrastructure in Bitcoin: no index inclusion mechanics, no ETF rebalancing cascades, no systematic factor-arbitrage loops that force correlated price dynamics across time scales.</w:t>
      </w:r>
    </w:p>
    <w:p>
      <w:pPr>
        <w:spacing w:before="120" w:after="120" w:line="360" w:lineRule="exact"/>
        <w:jc w:val="both"/>
      </w:pPr>
      <w:r>
        <w:rPr>
          <w:rFonts w:ascii="Times New Roman" w:hAnsi="Times New Roman"/>
          <w:b w:val="0"/>
          <w:i w:val="0"/>
          <w:sz w:val="24"/>
        </w:rPr>
        <w:t>The testable prediction follows: as institutional participation grows, Bitcoin should develop these feedback structures, and its rolling SCI should rise toward CORE thresholds. Specifically, the late 2020 – early 2021 period — characterized by MicroStrategy's balance-sheet allocation, Tesla's $1.5B purchase, and a surge in Grayscale Bitcoin Trust (GBTC) AUM — was predicted to show elevated SCI relative to retail-dominated bear markets and regulatory crisis periods (2022 Luna collapse, FTX failure, crypto winter).</w:t>
      </w:r>
    </w:p>
    <w:p>
      <w:pPr>
        <w:spacing w:before="120" w:after="120" w:line="360" w:lineRule="exact"/>
        <w:jc w:val="both"/>
      </w:pPr>
      <w:r>
        <w:rPr>
          <w:rFonts w:ascii="Times New Roman" w:hAnsi="Times New Roman"/>
          <w:b w:val="0"/>
          <w:i w:val="0"/>
          <w:sz w:val="24"/>
        </w:rPr>
        <w:t>The prediction also carried a broader implication: that rolling SCI could serve as a real-time detector of when a new asset class has developed the feedback infrastructure that makes systematic strategies reliably applicable — the moment of transition from noise-dominated to regime-dominated dynamics.</w:t>
      </w:r>
    </w:p>
    <w:p>
      <w:pPr>
        <w:spacing w:before="280" w:after="120"/>
      </w:pPr>
      <w:r>
        <w:rPr>
          <w:rFonts w:ascii="Times New Roman" w:hAnsi="Times New Roman"/>
          <w:b/>
          <w:i w:val="0"/>
          <w:sz w:val="28"/>
        </w:rPr>
        <w:t>2. Methods</w:t>
      </w:r>
    </w:p>
    <w:p>
      <w:pPr>
        <w:spacing w:before="200" w:after="120"/>
      </w:pPr>
      <w:r>
        <w:rPr>
          <w:rFonts w:ascii="Times New Roman" w:hAnsi="Times New Roman"/>
          <w:b/>
          <w:i w:val="0"/>
          <w:sz w:val="26"/>
        </w:rPr>
        <w:t>2.1 Data</w:t>
      </w:r>
    </w:p>
    <w:p>
      <w:pPr>
        <w:spacing w:before="120" w:after="120" w:line="360" w:lineRule="exact"/>
        <w:jc w:val="both"/>
      </w:pPr>
      <w:r>
        <w:rPr>
          <w:rFonts w:ascii="Times New Roman" w:hAnsi="Times New Roman"/>
          <w:b w:val="0"/>
          <w:i w:val="0"/>
          <w:sz w:val="24"/>
        </w:rPr>
        <w:t>Bitcoin daily closing prices were downloaded from Yahoo Finance (ticker: BTC-USD) covering 2017-01-01 through 2026-05-13 (3,419 trading days). Log-percentage daily returns were computed. GBTC daily closing prices were downloaded over the same interval as a proxy for institutional demand flows. No survivorship bias or lookahead bias is present; all data were downloaded in a single batch after the fact.</w:t>
      </w:r>
    </w:p>
    <w:p>
      <w:pPr>
        <w:spacing w:before="200" w:after="120"/>
      </w:pPr>
      <w:r>
        <w:rPr>
          <w:rFonts w:ascii="Times New Roman" w:hAnsi="Times New Roman"/>
          <w:b/>
          <w:i w:val="0"/>
          <w:sz w:val="26"/>
        </w:rPr>
        <w:t>2.2 Rolling SCI Computation</w:t>
      </w:r>
    </w:p>
    <w:p>
      <w:pPr>
        <w:spacing w:before="120" w:after="120" w:line="360" w:lineRule="exact"/>
        <w:jc w:val="both"/>
      </w:pPr>
      <w:r>
        <w:rPr>
          <w:rFonts w:ascii="Times New Roman" w:hAnsi="Times New Roman"/>
          <w:b w:val="0"/>
          <w:i w:val="0"/>
          <w:sz w:val="24"/>
        </w:rPr>
        <w:t>SCI was computed on overlapping 63-trading-day windows (~90 calendar days) ending on each trading day from 2017-03-06 through 2026-05-13. Parameters were held at the locked finance standard: W=7, L=10, S=40, k=0.9, seed=42. Each window produced one SCI observation, yielding 3,356 total windows.</w:t>
      </w:r>
    </w:p>
    <w:p>
      <w:pPr>
        <w:spacing w:before="80" w:after="80"/>
        <w:ind w:left="576"/>
        <w:shd w:val="clear" w:color="auto" w:fill="F2F2F2"/>
      </w:pPr>
      <w:r>
        <w:rPr>
          <w:rFonts w:ascii="Courier New" w:hAnsi="Courier New"/>
          <w:b w:val="0"/>
          <w:i w:val="0"/>
          <w:sz w:val="18"/>
        </w:rPr>
        <w:t>for i in range(63, len(returns)):</w:t>
        <w:br/>
        <w:t xml:space="preserve">    window = returns[i-63:i]          # 63 trading days</w:t>
        <w:br/>
        <w:t xml:space="preserve">    r = sci_score_v3(window, w=7, L=10, S=40, k=0.9, seed=42)</w:t>
        <w:br/>
        <w:t xml:space="preserve">    record = {date, SCI, z, gap, c_obs, c_surr}</w:t>
      </w:r>
    </w:p>
    <w:p>
      <w:pPr>
        <w:spacing w:before="200" w:after="120"/>
      </w:pPr>
      <w:r>
        <w:rPr>
          <w:rFonts w:ascii="Times New Roman" w:hAnsi="Times New Roman"/>
          <w:b/>
          <w:i w:val="0"/>
          <w:sz w:val="26"/>
        </w:rPr>
        <w:t>2.3 Regime Definitions</w:t>
      </w:r>
    </w:p>
    <w:p>
      <w:pPr>
        <w:spacing w:before="120" w:after="120" w:line="360" w:lineRule="exact"/>
        <w:jc w:val="both"/>
      </w:pPr>
      <w:r>
        <w:rPr>
          <w:rFonts w:ascii="Times New Roman" w:hAnsi="Times New Roman"/>
          <w:b w:val="0"/>
          <w:i w:val="0"/>
          <w:sz w:val="24"/>
        </w:rPr>
        <w:t>Institutional and retail/crisis periods were defined a priori based on publicly recorded events, not on the SCI data itself. Definitions were fixed before any results were examined.</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2E4057"/>
            <w:vAlign w:val="center"/>
          </w:tcPr>
          <w:p>
            <w:pPr>
              <w:jc w:val="center"/>
            </w:pPr>
            <w:r>
              <w:rPr>
                <w:rFonts w:ascii="Times New Roman" w:hAnsi="Times New Roman"/>
                <w:b/>
                <w:i w:val="0"/>
                <w:color w:val="FFFFFF"/>
                <w:sz w:val="20"/>
              </w:rPr>
              <w:t>Period</w:t>
            </w:r>
          </w:p>
        </w:tc>
        <w:tc>
          <w:tcPr>
            <w:tcW w:type="dxa" w:w="3600"/>
            <w:shd w:val="clear" w:color="auto" w:fill="2E4057"/>
            <w:vAlign w:val="center"/>
          </w:tcPr>
          <w:p>
            <w:pPr>
              <w:jc w:val="center"/>
            </w:pPr>
            <w:r>
              <w:rPr>
                <w:rFonts w:ascii="Times New Roman" w:hAnsi="Times New Roman"/>
                <w:b/>
                <w:i w:val="0"/>
                <w:color w:val="FFFFFF"/>
                <w:sz w:val="20"/>
              </w:rPr>
              <w:t>Dates</w:t>
            </w:r>
          </w:p>
        </w:tc>
        <w:tc>
          <w:tcPr>
            <w:tcW w:type="dxa" w:w="2592"/>
            <w:shd w:val="clear" w:color="auto" w:fill="2E4057"/>
            <w:vAlign w:val="center"/>
          </w:tcPr>
          <w:p>
            <w:pPr>
              <w:jc w:val="center"/>
            </w:pPr>
            <w:r>
              <w:rPr>
                <w:rFonts w:ascii="Times New Roman" w:hAnsi="Times New Roman"/>
                <w:b/>
                <w:i w:val="0"/>
                <w:color w:val="FFFFFF"/>
                <w:sz w:val="20"/>
              </w:rPr>
              <w:t>Regime</w:t>
            </w:r>
          </w:p>
        </w:tc>
      </w:tr>
      <w:tr>
        <w:tc>
          <w:tcPr>
            <w:tcW w:type="dxa" w:w="3120"/>
            <w:shd w:val="clear" w:color="auto" w:fill="EAF4EA"/>
            <w:vAlign w:val="center"/>
          </w:tcPr>
          <w:p>
            <w:pPr>
              <w:jc w:val="left"/>
            </w:pPr>
            <w:r>
              <w:rPr>
                <w:rFonts w:ascii="Times New Roman" w:hAnsi="Times New Roman"/>
                <w:b w:val="0"/>
                <w:i w:val="0"/>
                <w:sz w:val="20"/>
              </w:rPr>
              <w:t>CME/CBOE Futures Era</w:t>
            </w:r>
          </w:p>
        </w:tc>
        <w:tc>
          <w:tcPr>
            <w:tcW w:type="dxa" w:w="3120"/>
            <w:shd w:val="clear" w:color="auto" w:fill="EAF4EA"/>
            <w:vAlign w:val="center"/>
          </w:tcPr>
          <w:p>
            <w:pPr>
              <w:jc w:val="center"/>
            </w:pPr>
            <w:r>
              <w:rPr>
                <w:rFonts w:ascii="Times New Roman" w:hAnsi="Times New Roman"/>
                <w:b w:val="0"/>
                <w:i w:val="0"/>
                <w:sz w:val="20"/>
              </w:rPr>
              <w:t>2017-12-17 – 2018-06-30</w:t>
            </w:r>
          </w:p>
        </w:tc>
        <w:tc>
          <w:tcPr>
            <w:tcW w:type="dxa" w:w="3120"/>
            <w:shd w:val="clear" w:color="auto" w:fill="EAF4EA"/>
            <w:vAlign w:val="center"/>
          </w:tcPr>
          <w:p>
            <w:pPr>
              <w:jc w:val="center"/>
            </w:pPr>
            <w:r>
              <w:rPr>
                <w:rFonts w:ascii="Times New Roman" w:hAnsi="Times New Roman"/>
                <w:b/>
                <w:i w:val="0"/>
                <w:sz w:val="20"/>
              </w:rPr>
              <w:t>Institutional</w:t>
            </w:r>
          </w:p>
        </w:tc>
      </w:tr>
      <w:tr>
        <w:tc>
          <w:tcPr>
            <w:tcW w:type="dxa" w:w="3120"/>
            <w:shd w:val="clear" w:color="auto" w:fill="EAF4EA"/>
            <w:vAlign w:val="center"/>
          </w:tcPr>
          <w:p>
            <w:pPr>
              <w:jc w:val="left"/>
            </w:pPr>
            <w:r>
              <w:rPr>
                <w:rFonts w:ascii="Times New Roman" w:hAnsi="Times New Roman"/>
                <w:b w:val="0"/>
                <w:i w:val="0"/>
                <w:sz w:val="20"/>
              </w:rPr>
              <w:t>Corporate Treasury Wave</w:t>
            </w:r>
          </w:p>
        </w:tc>
        <w:tc>
          <w:tcPr>
            <w:tcW w:type="dxa" w:w="3120"/>
            <w:shd w:val="clear" w:color="auto" w:fill="EAF4EA"/>
            <w:vAlign w:val="center"/>
          </w:tcPr>
          <w:p>
            <w:pPr>
              <w:jc w:val="center"/>
            </w:pPr>
            <w:r>
              <w:rPr>
                <w:rFonts w:ascii="Times New Roman" w:hAnsi="Times New Roman"/>
                <w:b w:val="0"/>
                <w:i w:val="0"/>
                <w:sz w:val="20"/>
              </w:rPr>
              <w:t>2020-10-01 – 2021-04-30</w:t>
            </w:r>
          </w:p>
        </w:tc>
        <w:tc>
          <w:tcPr>
            <w:tcW w:type="dxa" w:w="3120"/>
            <w:shd w:val="clear" w:color="auto" w:fill="EAF4EA"/>
            <w:vAlign w:val="center"/>
          </w:tcPr>
          <w:p>
            <w:pPr>
              <w:jc w:val="center"/>
            </w:pPr>
            <w:r>
              <w:rPr>
                <w:rFonts w:ascii="Times New Roman" w:hAnsi="Times New Roman"/>
                <w:b/>
                <w:i w:val="0"/>
                <w:sz w:val="20"/>
              </w:rPr>
              <w:t>Institutional</w:t>
            </w:r>
          </w:p>
        </w:tc>
      </w:tr>
      <w:tr>
        <w:tc>
          <w:tcPr>
            <w:tcW w:type="dxa" w:w="3120"/>
            <w:shd w:val="clear" w:color="auto" w:fill="EAF4EA"/>
            <w:vAlign w:val="center"/>
          </w:tcPr>
          <w:p>
            <w:pPr>
              <w:jc w:val="left"/>
            </w:pPr>
            <w:r>
              <w:rPr>
                <w:rFonts w:ascii="Times New Roman" w:hAnsi="Times New Roman"/>
                <w:b w:val="0"/>
                <w:i w:val="0"/>
                <w:sz w:val="20"/>
              </w:rPr>
              <w:t>ProShares ETF / ATH</w:t>
            </w:r>
          </w:p>
        </w:tc>
        <w:tc>
          <w:tcPr>
            <w:tcW w:type="dxa" w:w="3120"/>
            <w:shd w:val="clear" w:color="auto" w:fill="EAF4EA"/>
            <w:vAlign w:val="center"/>
          </w:tcPr>
          <w:p>
            <w:pPr>
              <w:jc w:val="center"/>
            </w:pPr>
            <w:r>
              <w:rPr>
                <w:rFonts w:ascii="Times New Roman" w:hAnsi="Times New Roman"/>
                <w:b w:val="0"/>
                <w:i w:val="0"/>
                <w:sz w:val="20"/>
              </w:rPr>
              <w:t>2021-10-01 – 2021-11-10</w:t>
            </w:r>
          </w:p>
        </w:tc>
        <w:tc>
          <w:tcPr>
            <w:tcW w:type="dxa" w:w="3120"/>
            <w:shd w:val="clear" w:color="auto" w:fill="EAF4EA"/>
            <w:vAlign w:val="center"/>
          </w:tcPr>
          <w:p>
            <w:pPr>
              <w:jc w:val="center"/>
            </w:pPr>
            <w:r>
              <w:rPr>
                <w:rFonts w:ascii="Times New Roman" w:hAnsi="Times New Roman"/>
                <w:b/>
                <w:i w:val="0"/>
                <w:sz w:val="20"/>
              </w:rPr>
              <w:t>Institutional</w:t>
            </w:r>
          </w:p>
        </w:tc>
      </w:tr>
      <w:tr>
        <w:tc>
          <w:tcPr>
            <w:tcW w:type="dxa" w:w="3120"/>
            <w:shd w:val="clear" w:color="auto" w:fill="EAF4EA"/>
            <w:vAlign w:val="center"/>
          </w:tcPr>
          <w:p>
            <w:pPr>
              <w:jc w:val="left"/>
            </w:pPr>
            <w:r>
              <w:rPr>
                <w:rFonts w:ascii="Times New Roman" w:hAnsi="Times New Roman"/>
                <w:b w:val="0"/>
                <w:i w:val="0"/>
                <w:sz w:val="20"/>
              </w:rPr>
              <w:t>Spot ETF Era</w:t>
            </w:r>
          </w:p>
        </w:tc>
        <w:tc>
          <w:tcPr>
            <w:tcW w:type="dxa" w:w="3120"/>
            <w:shd w:val="clear" w:color="auto" w:fill="EAF4EA"/>
            <w:vAlign w:val="center"/>
          </w:tcPr>
          <w:p>
            <w:pPr>
              <w:jc w:val="center"/>
            </w:pPr>
            <w:r>
              <w:rPr>
                <w:rFonts w:ascii="Times New Roman" w:hAnsi="Times New Roman"/>
                <w:b w:val="0"/>
                <w:i w:val="0"/>
                <w:sz w:val="20"/>
              </w:rPr>
              <w:t>2024-01-11 – present</w:t>
            </w:r>
          </w:p>
        </w:tc>
        <w:tc>
          <w:tcPr>
            <w:tcW w:type="dxa" w:w="3120"/>
            <w:shd w:val="clear" w:color="auto" w:fill="EAF4EA"/>
            <w:vAlign w:val="center"/>
          </w:tcPr>
          <w:p>
            <w:pPr>
              <w:jc w:val="center"/>
            </w:pPr>
            <w:r>
              <w:rPr>
                <w:rFonts w:ascii="Times New Roman" w:hAnsi="Times New Roman"/>
                <w:b/>
                <w:i w:val="0"/>
                <w:sz w:val="20"/>
              </w:rPr>
              <w:t>Institutional</w:t>
            </w:r>
          </w:p>
        </w:tc>
      </w:tr>
      <w:tr>
        <w:tc>
          <w:tcPr>
            <w:tcW w:type="dxa" w:w="3120"/>
            <w:shd w:val="clear" w:color="auto" w:fill="FDECEA"/>
            <w:vAlign w:val="center"/>
          </w:tcPr>
          <w:p>
            <w:pPr>
              <w:jc w:val="left"/>
            </w:pPr>
            <w:r>
              <w:rPr>
                <w:rFonts w:ascii="Times New Roman" w:hAnsi="Times New Roman"/>
                <w:b w:val="0"/>
                <w:i w:val="0"/>
                <w:sz w:val="20"/>
              </w:rPr>
              <w:t>Pre-Futures Retail</w:t>
            </w:r>
          </w:p>
        </w:tc>
        <w:tc>
          <w:tcPr>
            <w:tcW w:type="dxa" w:w="3120"/>
            <w:shd w:val="clear" w:color="auto" w:fill="FDECEA"/>
            <w:vAlign w:val="center"/>
          </w:tcPr>
          <w:p>
            <w:pPr>
              <w:jc w:val="center"/>
            </w:pPr>
            <w:r>
              <w:rPr>
                <w:rFonts w:ascii="Times New Roman" w:hAnsi="Times New Roman"/>
                <w:b w:val="0"/>
                <w:i w:val="0"/>
                <w:sz w:val="20"/>
              </w:rPr>
              <w:t>2017-01-01 – 2017-12-16</w:t>
            </w:r>
          </w:p>
        </w:tc>
        <w:tc>
          <w:tcPr>
            <w:tcW w:type="dxa" w:w="3120"/>
            <w:shd w:val="clear" w:color="auto" w:fill="FDECEA"/>
            <w:vAlign w:val="center"/>
          </w:tcPr>
          <w:p>
            <w:pPr>
              <w:jc w:val="center"/>
            </w:pPr>
            <w:r>
              <w:rPr>
                <w:rFonts w:ascii="Times New Roman" w:hAnsi="Times New Roman"/>
                <w:b w:val="0"/>
                <w:i w:val="0"/>
                <w:sz w:val="20"/>
              </w:rPr>
              <w:t>Retail</w:t>
            </w:r>
          </w:p>
        </w:tc>
      </w:tr>
      <w:tr>
        <w:tc>
          <w:tcPr>
            <w:tcW w:type="dxa" w:w="3120"/>
            <w:shd w:val="clear" w:color="auto" w:fill="FDECEA"/>
            <w:vAlign w:val="center"/>
          </w:tcPr>
          <w:p>
            <w:pPr>
              <w:jc w:val="left"/>
            </w:pPr>
            <w:r>
              <w:rPr>
                <w:rFonts w:ascii="Times New Roman" w:hAnsi="Times New Roman"/>
                <w:b w:val="0"/>
                <w:i w:val="0"/>
                <w:sz w:val="20"/>
              </w:rPr>
              <w:t>Prolonged Bear / Retail</w:t>
            </w:r>
          </w:p>
        </w:tc>
        <w:tc>
          <w:tcPr>
            <w:tcW w:type="dxa" w:w="3120"/>
            <w:shd w:val="clear" w:color="auto" w:fill="FDECEA"/>
            <w:vAlign w:val="center"/>
          </w:tcPr>
          <w:p>
            <w:pPr>
              <w:jc w:val="center"/>
            </w:pPr>
            <w:r>
              <w:rPr>
                <w:rFonts w:ascii="Times New Roman" w:hAnsi="Times New Roman"/>
                <w:b w:val="0"/>
                <w:i w:val="0"/>
                <w:sz w:val="20"/>
              </w:rPr>
              <w:t>2018-07-01 – 2020-09-30</w:t>
            </w:r>
          </w:p>
        </w:tc>
        <w:tc>
          <w:tcPr>
            <w:tcW w:type="dxa" w:w="3120"/>
            <w:shd w:val="clear" w:color="auto" w:fill="FDECEA"/>
            <w:vAlign w:val="center"/>
          </w:tcPr>
          <w:p>
            <w:pPr>
              <w:jc w:val="center"/>
            </w:pPr>
            <w:r>
              <w:rPr>
                <w:rFonts w:ascii="Times New Roman" w:hAnsi="Times New Roman"/>
                <w:b w:val="0"/>
                <w:i w:val="0"/>
                <w:sz w:val="20"/>
              </w:rPr>
              <w:t>Retail</w:t>
            </w:r>
          </w:p>
        </w:tc>
      </w:tr>
      <w:tr>
        <w:tc>
          <w:tcPr>
            <w:tcW w:type="dxa" w:w="3120"/>
            <w:shd w:val="clear" w:color="auto" w:fill="FDECEA"/>
            <w:vAlign w:val="center"/>
          </w:tcPr>
          <w:p>
            <w:pPr>
              <w:jc w:val="left"/>
            </w:pPr>
            <w:r>
              <w:rPr>
                <w:rFonts w:ascii="Times New Roman" w:hAnsi="Times New Roman"/>
                <w:b w:val="0"/>
                <w:i w:val="0"/>
                <w:sz w:val="20"/>
              </w:rPr>
              <w:t>China Ban / Mid-Cycle</w:t>
            </w:r>
          </w:p>
        </w:tc>
        <w:tc>
          <w:tcPr>
            <w:tcW w:type="dxa" w:w="3120"/>
            <w:shd w:val="clear" w:color="auto" w:fill="FDECEA"/>
            <w:vAlign w:val="center"/>
          </w:tcPr>
          <w:p>
            <w:pPr>
              <w:jc w:val="center"/>
            </w:pPr>
            <w:r>
              <w:rPr>
                <w:rFonts w:ascii="Times New Roman" w:hAnsi="Times New Roman"/>
                <w:b w:val="0"/>
                <w:i w:val="0"/>
                <w:sz w:val="20"/>
              </w:rPr>
              <w:t>2021-05-01 – 2021-09-30</w:t>
            </w:r>
          </w:p>
        </w:tc>
        <w:tc>
          <w:tcPr>
            <w:tcW w:type="dxa" w:w="3120"/>
            <w:shd w:val="clear" w:color="auto" w:fill="FDECEA"/>
            <w:vAlign w:val="center"/>
          </w:tcPr>
          <w:p>
            <w:pPr>
              <w:jc w:val="center"/>
            </w:pPr>
            <w:r>
              <w:rPr>
                <w:rFonts w:ascii="Times New Roman" w:hAnsi="Times New Roman"/>
                <w:b w:val="0"/>
                <w:i w:val="0"/>
                <w:sz w:val="20"/>
              </w:rPr>
              <w:t>Retail</w:t>
            </w:r>
          </w:p>
        </w:tc>
      </w:tr>
      <w:tr>
        <w:tc>
          <w:tcPr>
            <w:tcW w:type="dxa" w:w="3120"/>
            <w:shd w:val="clear" w:color="auto" w:fill="FDECEA"/>
            <w:vAlign w:val="center"/>
          </w:tcPr>
          <w:p>
            <w:pPr>
              <w:jc w:val="left"/>
            </w:pPr>
            <w:r>
              <w:rPr>
                <w:rFonts w:ascii="Times New Roman" w:hAnsi="Times New Roman"/>
                <w:b w:val="0"/>
                <w:i w:val="0"/>
                <w:sz w:val="20"/>
              </w:rPr>
              <w:t>Post-ATH Deleveraging</w:t>
            </w:r>
          </w:p>
        </w:tc>
        <w:tc>
          <w:tcPr>
            <w:tcW w:type="dxa" w:w="3120"/>
            <w:shd w:val="clear" w:color="auto" w:fill="FDECEA"/>
            <w:vAlign w:val="center"/>
          </w:tcPr>
          <w:p>
            <w:pPr>
              <w:jc w:val="center"/>
            </w:pPr>
            <w:r>
              <w:rPr>
                <w:rFonts w:ascii="Times New Roman" w:hAnsi="Times New Roman"/>
                <w:b w:val="0"/>
                <w:i w:val="0"/>
                <w:sz w:val="20"/>
              </w:rPr>
              <w:t>2021-11-11 – 2022-01-31</w:t>
            </w:r>
          </w:p>
        </w:tc>
        <w:tc>
          <w:tcPr>
            <w:tcW w:type="dxa" w:w="3120"/>
            <w:shd w:val="clear" w:color="auto" w:fill="FDECEA"/>
            <w:vAlign w:val="center"/>
          </w:tcPr>
          <w:p>
            <w:pPr>
              <w:jc w:val="center"/>
            </w:pPr>
            <w:r>
              <w:rPr>
                <w:rFonts w:ascii="Times New Roman" w:hAnsi="Times New Roman"/>
                <w:b w:val="0"/>
                <w:i w:val="0"/>
                <w:sz w:val="20"/>
              </w:rPr>
              <w:t>Retail</w:t>
            </w:r>
          </w:p>
        </w:tc>
      </w:tr>
      <w:tr>
        <w:tc>
          <w:tcPr>
            <w:tcW w:type="dxa" w:w="3120"/>
            <w:shd w:val="clear" w:color="auto" w:fill="FDECEA"/>
            <w:vAlign w:val="center"/>
          </w:tcPr>
          <w:p>
            <w:pPr>
              <w:jc w:val="left"/>
            </w:pPr>
            <w:r>
              <w:rPr>
                <w:rFonts w:ascii="Times New Roman" w:hAnsi="Times New Roman"/>
                <w:b w:val="0"/>
                <w:i w:val="0"/>
                <w:sz w:val="20"/>
              </w:rPr>
              <w:t>Luna/3AC Collapse</w:t>
            </w:r>
          </w:p>
        </w:tc>
        <w:tc>
          <w:tcPr>
            <w:tcW w:type="dxa" w:w="3120"/>
            <w:shd w:val="clear" w:color="auto" w:fill="FDECEA"/>
            <w:vAlign w:val="center"/>
          </w:tcPr>
          <w:p>
            <w:pPr>
              <w:jc w:val="center"/>
            </w:pPr>
            <w:r>
              <w:rPr>
                <w:rFonts w:ascii="Times New Roman" w:hAnsi="Times New Roman"/>
                <w:b w:val="0"/>
                <w:i w:val="0"/>
                <w:sz w:val="20"/>
              </w:rPr>
              <w:t>2022-05-01 – 2022-07-31</w:t>
            </w:r>
          </w:p>
        </w:tc>
        <w:tc>
          <w:tcPr>
            <w:tcW w:type="dxa" w:w="3120"/>
            <w:shd w:val="clear" w:color="auto" w:fill="FDECEA"/>
            <w:vAlign w:val="center"/>
          </w:tcPr>
          <w:p>
            <w:pPr>
              <w:jc w:val="center"/>
            </w:pPr>
            <w:r>
              <w:rPr>
                <w:rFonts w:ascii="Times New Roman" w:hAnsi="Times New Roman"/>
                <w:b w:val="0"/>
                <w:i w:val="0"/>
                <w:sz w:val="20"/>
              </w:rPr>
              <w:t>Retail</w:t>
            </w:r>
          </w:p>
        </w:tc>
      </w:tr>
      <w:tr>
        <w:tc>
          <w:tcPr>
            <w:tcW w:type="dxa" w:w="3120"/>
            <w:shd w:val="clear" w:color="auto" w:fill="FDECEA"/>
            <w:vAlign w:val="center"/>
          </w:tcPr>
          <w:p>
            <w:pPr>
              <w:jc w:val="left"/>
            </w:pPr>
            <w:r>
              <w:rPr>
                <w:rFonts w:ascii="Times New Roman" w:hAnsi="Times New Roman"/>
                <w:b w:val="0"/>
                <w:i w:val="0"/>
                <w:sz w:val="20"/>
              </w:rPr>
              <w:t>FTX Collapse / Crypto Winter</w:t>
            </w:r>
          </w:p>
        </w:tc>
        <w:tc>
          <w:tcPr>
            <w:tcW w:type="dxa" w:w="3120"/>
            <w:shd w:val="clear" w:color="auto" w:fill="FDECEA"/>
            <w:vAlign w:val="center"/>
          </w:tcPr>
          <w:p>
            <w:pPr>
              <w:jc w:val="center"/>
            </w:pPr>
            <w:r>
              <w:rPr>
                <w:rFonts w:ascii="Times New Roman" w:hAnsi="Times New Roman"/>
                <w:b w:val="0"/>
                <w:i w:val="0"/>
                <w:sz w:val="20"/>
              </w:rPr>
              <w:t>2022-11-01 – 2023-12-31</w:t>
            </w:r>
          </w:p>
        </w:tc>
        <w:tc>
          <w:tcPr>
            <w:tcW w:type="dxa" w:w="3120"/>
            <w:shd w:val="clear" w:color="auto" w:fill="FDECEA"/>
            <w:vAlign w:val="center"/>
          </w:tcPr>
          <w:p>
            <w:pPr>
              <w:jc w:val="center"/>
            </w:pPr>
            <w:r>
              <w:rPr>
                <w:rFonts w:ascii="Times New Roman" w:hAnsi="Times New Roman"/>
                <w:b w:val="0"/>
                <w:i w:val="0"/>
                <w:sz w:val="20"/>
              </w:rPr>
              <w:t>Retail</w:t>
            </w:r>
          </w:p>
        </w:tc>
      </w:tr>
    </w:tbl>
    <w:p>
      <w:pPr>
        <w:spacing w:before="80" w:after="200" w:line="360" w:lineRule="exact"/>
        <w:jc w:val="both"/>
      </w:pPr>
      <w:r>
        <w:rPr>
          <w:rFonts w:ascii="Times New Roman" w:hAnsi="Times New Roman"/>
          <w:b w:val="0"/>
          <w:i w:val="0"/>
          <w:sz w:val="24"/>
        </w:rPr>
        <w:t>Table 1. A priori regime definitions based on public-record event dates.</w:t>
      </w:r>
    </w:p>
    <w:p>
      <w:pPr>
        <w:spacing w:before="200" w:after="120"/>
      </w:pPr>
      <w:r>
        <w:rPr>
          <w:rFonts w:ascii="Times New Roman" w:hAnsi="Times New Roman"/>
          <w:b/>
          <w:i w:val="0"/>
          <w:sz w:val="26"/>
        </w:rPr>
        <w:t>2.4 Statistical Tests</w:t>
      </w:r>
    </w:p>
    <w:p>
      <w:pPr>
        <w:spacing w:before="120" w:after="120" w:line="360" w:lineRule="exact"/>
        <w:jc w:val="both"/>
      </w:pPr>
      <w:r>
        <w:rPr>
          <w:rFonts w:ascii="Times New Roman" w:hAnsi="Times New Roman"/>
          <w:b w:val="0"/>
          <w:i w:val="0"/>
          <w:sz w:val="24"/>
        </w:rPr>
        <w:t>Independent-samples t-test, Mann-Whitney U (one-sided: institutional &gt; retail), and Cohen's d were computed between the institutional and retail/crisis SCI distributions. A period-level breakdown was also tabulated. The CORE threshold is defined as SCI &gt; 0.75, corresponding to z ≈ 1.1 under k=0.9.</w:t>
      </w:r>
    </w:p>
    <w:p>
      <w:pPr>
        <w:spacing w:before="280" w:after="120"/>
      </w:pPr>
      <w:r>
        <w:rPr>
          <w:rFonts w:ascii="Times New Roman" w:hAnsi="Times New Roman"/>
          <w:b/>
          <w:i w:val="0"/>
          <w:sz w:val="28"/>
        </w:rPr>
        <w:t>3. Results</w:t>
      </w:r>
    </w:p>
    <w:p>
      <w:pPr>
        <w:spacing w:before="200" w:after="120"/>
      </w:pPr>
      <w:r>
        <w:rPr>
          <w:rFonts w:ascii="Times New Roman" w:hAnsi="Times New Roman"/>
          <w:b/>
          <w:i w:val="0"/>
          <w:sz w:val="26"/>
        </w:rPr>
        <w:t>3.1 Primary Test: Institutional vs. Retail/Crisis</w:t>
      </w:r>
    </w:p>
    <w:p>
      <w:pPr>
        <w:spacing w:before="120" w:after="120" w:line="360" w:lineRule="exact"/>
        <w:jc w:val="both"/>
      </w:pPr>
      <w:r>
        <w:rPr>
          <w:rFonts w:ascii="Times New Roman" w:hAnsi="Times New Roman"/>
          <w:b w:val="0"/>
          <w:i w:val="0"/>
          <w:sz w:val="24"/>
        </w:rPr>
        <w:t>The hypothesis was directly falsified. Retail/crisis periods produced significantly higher SCI than institutional periods, in the opposite direction from the prediction: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E4057"/>
            <w:vAlign w:val="center"/>
          </w:tcPr>
          <w:p>
            <w:pPr>
              <w:jc w:val="center"/>
            </w:pPr>
            <w:r>
              <w:rPr>
                <w:rFonts w:ascii="Times New Roman" w:hAnsi="Times New Roman"/>
                <w:b/>
                <w:i w:val="0"/>
                <w:color w:val="FFFFFF"/>
                <w:sz w:val="20"/>
              </w:rPr>
              <w:t>Regime</w:t>
            </w:r>
          </w:p>
        </w:tc>
        <w:tc>
          <w:tcPr>
            <w:tcW w:type="dxa" w:w="2340"/>
            <w:shd w:val="clear" w:color="auto" w:fill="2E4057"/>
            <w:vAlign w:val="center"/>
          </w:tcPr>
          <w:p>
            <w:pPr>
              <w:jc w:val="center"/>
            </w:pPr>
            <w:r>
              <w:rPr>
                <w:rFonts w:ascii="Times New Roman" w:hAnsi="Times New Roman"/>
                <w:b/>
                <w:i w:val="0"/>
                <w:color w:val="FFFFFF"/>
                <w:sz w:val="20"/>
              </w:rPr>
              <w:t>N windows</w:t>
            </w:r>
          </w:p>
        </w:tc>
        <w:tc>
          <w:tcPr>
            <w:tcW w:type="dxa" w:w="2340"/>
            <w:shd w:val="clear" w:color="auto" w:fill="2E4057"/>
            <w:vAlign w:val="center"/>
          </w:tcPr>
          <w:p>
            <w:pPr>
              <w:jc w:val="center"/>
            </w:pPr>
            <w:r>
              <w:rPr>
                <w:rFonts w:ascii="Times New Roman" w:hAnsi="Times New Roman"/>
                <w:b/>
                <w:i w:val="0"/>
                <w:color w:val="FFFFFF"/>
                <w:sz w:val="20"/>
              </w:rPr>
              <w:t>Mean SCI (SD)</w:t>
            </w:r>
          </w:p>
        </w:tc>
        <w:tc>
          <w:tcPr>
            <w:tcW w:type="dxa" w:w="2340"/>
            <w:shd w:val="clear" w:color="auto" w:fill="2E4057"/>
            <w:vAlign w:val="center"/>
          </w:tcPr>
          <w:p>
            <w:pPr>
              <w:jc w:val="center"/>
            </w:pPr>
            <w:r>
              <w:rPr>
                <w:rFonts w:ascii="Times New Roman" w:hAnsi="Times New Roman"/>
                <w:b/>
                <w:i w:val="0"/>
                <w:color w:val="FFFFFF"/>
                <w:sz w:val="20"/>
              </w:rPr>
              <w:t>% CORE (&gt;0.75)</w:t>
            </w:r>
          </w:p>
        </w:tc>
      </w:tr>
      <w:tr>
        <w:tc>
          <w:tcPr>
            <w:tcW w:type="dxa" w:w="2340"/>
            <w:shd w:val="clear" w:color="auto" w:fill="EAF4EA"/>
            <w:vAlign w:val="center"/>
          </w:tcPr>
          <w:p>
            <w:pPr>
              <w:jc w:val="center"/>
            </w:pPr>
            <w:r>
              <w:rPr>
                <w:rFonts w:ascii="Times New Roman" w:hAnsi="Times New Roman"/>
                <w:b w:val="0"/>
                <w:i w:val="0"/>
                <w:sz w:val="20"/>
              </w:rPr>
              <w:t>Institutional</w:t>
            </w:r>
          </w:p>
        </w:tc>
        <w:tc>
          <w:tcPr>
            <w:tcW w:type="dxa" w:w="2340"/>
            <w:shd w:val="clear" w:color="auto" w:fill="EAF4EA"/>
            <w:vAlign w:val="center"/>
          </w:tcPr>
          <w:p>
            <w:pPr>
              <w:jc w:val="center"/>
            </w:pPr>
            <w:r>
              <w:rPr>
                <w:rFonts w:ascii="Times New Roman" w:hAnsi="Times New Roman"/>
                <w:b w:val="0"/>
                <w:i w:val="0"/>
                <w:sz w:val="20"/>
              </w:rPr>
              <w:t>1,303</w:t>
            </w:r>
          </w:p>
        </w:tc>
        <w:tc>
          <w:tcPr>
            <w:tcW w:type="dxa" w:w="2340"/>
            <w:shd w:val="clear" w:color="auto" w:fill="EAF4EA"/>
            <w:vAlign w:val="center"/>
          </w:tcPr>
          <w:p>
            <w:pPr>
              <w:jc w:val="center"/>
            </w:pPr>
            <w:r>
              <w:rPr>
                <w:rFonts w:ascii="Times New Roman" w:hAnsi="Times New Roman"/>
                <w:b w:val="0"/>
                <w:i w:val="0"/>
                <w:sz w:val="20"/>
              </w:rPr>
              <w:t>0.608 (0.221)</w:t>
            </w:r>
          </w:p>
        </w:tc>
        <w:tc>
          <w:tcPr>
            <w:tcW w:type="dxa" w:w="2340"/>
            <w:shd w:val="clear" w:color="auto" w:fill="EAF4EA"/>
            <w:vAlign w:val="center"/>
          </w:tcPr>
          <w:p>
            <w:pPr>
              <w:jc w:val="center"/>
            </w:pPr>
            <w:r>
              <w:rPr>
                <w:rFonts w:ascii="Times New Roman" w:hAnsi="Times New Roman"/>
                <w:b w:val="0"/>
                <w:i w:val="0"/>
                <w:sz w:val="20"/>
              </w:rPr>
              <w:t>32.1%</w:t>
            </w:r>
          </w:p>
        </w:tc>
      </w:tr>
      <w:tr>
        <w:tc>
          <w:tcPr>
            <w:tcW w:type="dxa" w:w="2340"/>
            <w:shd w:val="clear" w:color="auto" w:fill="FDECEA"/>
            <w:vAlign w:val="center"/>
          </w:tcPr>
          <w:p>
            <w:pPr>
              <w:jc w:val="center"/>
            </w:pPr>
            <w:r>
              <w:rPr>
                <w:rFonts w:ascii="Times New Roman" w:hAnsi="Times New Roman"/>
                <w:b w:val="0"/>
                <w:i w:val="0"/>
                <w:sz w:val="20"/>
              </w:rPr>
              <w:t>Retail / Crisis</w:t>
            </w:r>
          </w:p>
        </w:tc>
        <w:tc>
          <w:tcPr>
            <w:tcW w:type="dxa" w:w="2340"/>
            <w:shd w:val="clear" w:color="auto" w:fill="FDECEA"/>
            <w:vAlign w:val="center"/>
          </w:tcPr>
          <w:p>
            <w:pPr>
              <w:jc w:val="center"/>
            </w:pPr>
            <w:r>
              <w:rPr>
                <w:rFonts w:ascii="Times New Roman" w:hAnsi="Times New Roman"/>
                <w:b w:val="0"/>
                <w:i w:val="0"/>
                <w:sz w:val="20"/>
              </w:rPr>
              <w:t>1,862</w:t>
            </w:r>
          </w:p>
        </w:tc>
        <w:tc>
          <w:tcPr>
            <w:tcW w:type="dxa" w:w="2340"/>
            <w:shd w:val="clear" w:color="auto" w:fill="FDECEA"/>
            <w:vAlign w:val="center"/>
          </w:tcPr>
          <w:p>
            <w:pPr>
              <w:jc w:val="center"/>
            </w:pPr>
            <w:r>
              <w:rPr>
                <w:rFonts w:ascii="Times New Roman" w:hAnsi="Times New Roman"/>
                <w:b w:val="0"/>
                <w:i w:val="0"/>
                <w:sz w:val="20"/>
              </w:rPr>
              <w:t>0.676 (0.200)</w:t>
            </w:r>
          </w:p>
        </w:tc>
        <w:tc>
          <w:tcPr>
            <w:tcW w:type="dxa" w:w="2340"/>
            <w:shd w:val="clear" w:color="auto" w:fill="FDECEA"/>
            <w:vAlign w:val="center"/>
          </w:tcPr>
          <w:p>
            <w:pPr>
              <w:jc w:val="center"/>
            </w:pPr>
            <w:r>
              <w:rPr>
                <w:rFonts w:ascii="Times New Roman" w:hAnsi="Times New Roman"/>
                <w:b w:val="0"/>
                <w:i w:val="0"/>
                <w:sz w:val="20"/>
              </w:rPr>
              <w:t>45.8%</w:t>
            </w:r>
          </w:p>
        </w:tc>
      </w:tr>
      <w:tr>
        <w:tc>
          <w:tcPr>
            <w:tcW w:type="dxa" w:w="2340"/>
            <w:shd w:val="clear" w:color="auto" w:fill="F8F8F8"/>
            <w:vAlign w:val="center"/>
          </w:tcPr>
          <w:p>
            <w:pPr>
              <w:jc w:val="center"/>
            </w:pPr>
            <w:r>
              <w:rPr>
                <w:rFonts w:ascii="Times New Roman" w:hAnsi="Times New Roman"/>
                <w:b w:val="0"/>
                <w:i w:val="0"/>
                <w:sz w:val="20"/>
              </w:rPr>
              <w:t>Transition</w:t>
            </w:r>
          </w:p>
        </w:tc>
        <w:tc>
          <w:tcPr>
            <w:tcW w:type="dxa" w:w="2340"/>
            <w:shd w:val="clear" w:color="auto" w:fill="F8F8F8"/>
            <w:vAlign w:val="center"/>
          </w:tcPr>
          <w:p>
            <w:pPr>
              <w:jc w:val="center"/>
            </w:pPr>
            <w:r>
              <w:rPr>
                <w:rFonts w:ascii="Times New Roman" w:hAnsi="Times New Roman"/>
                <w:b w:val="0"/>
                <w:i w:val="0"/>
                <w:sz w:val="20"/>
              </w:rPr>
              <w:t>191</w:t>
            </w:r>
          </w:p>
        </w:tc>
        <w:tc>
          <w:tcPr>
            <w:tcW w:type="dxa" w:w="2340"/>
            <w:shd w:val="clear" w:color="auto" w:fill="F8F8F8"/>
            <w:vAlign w:val="center"/>
          </w:tcPr>
          <w:p>
            <w:pPr>
              <w:jc w:val="center"/>
            </w:pPr>
            <w:r>
              <w:rPr>
                <w:rFonts w:ascii="Times New Roman" w:hAnsi="Times New Roman"/>
                <w:b w:val="0"/>
                <w:i w:val="0"/>
                <w:sz w:val="20"/>
              </w:rPr>
              <w:t>0.649 (0.208)</w:t>
            </w:r>
          </w:p>
        </w:tc>
        <w:tc>
          <w:tcPr>
            <w:tcW w:type="dxa" w:w="2340"/>
            <w:shd w:val="clear" w:color="auto" w:fill="F8F8F8"/>
            <w:vAlign w:val="center"/>
          </w:tcPr>
          <w:p>
            <w:pPr>
              <w:jc w:val="center"/>
            </w:pPr>
            <w:r>
              <w:rPr>
                <w:rFonts w:ascii="Times New Roman" w:hAnsi="Times New Roman"/>
                <w:b w:val="0"/>
                <w:i w:val="0"/>
                <w:sz w:val="20"/>
              </w:rPr>
              <w:t>38.2%</w:t>
            </w:r>
          </w:p>
        </w:tc>
      </w:tr>
    </w:tbl>
    <w:p>
      <w:pPr>
        <w:spacing w:before="80" w:after="160" w:line="360" w:lineRule="exact"/>
        <w:jc w:val="both"/>
      </w:pPr>
      <w:r>
        <w:rPr>
          <w:rFonts w:ascii="Times New Roman" w:hAnsi="Times New Roman"/>
          <w:b w:val="0"/>
          <w:i w:val="0"/>
          <w:sz w:val="24"/>
        </w:rPr>
        <w:t>Table 2. Grand means by regime.</w:t>
      </w:r>
    </w:p>
    <w:p>
      <w:pPr>
        <w:spacing w:before="120" w:after="120" w:line="360" w:lineRule="exact"/>
        <w:jc w:val="both"/>
      </w:pPr>
      <w:r>
        <w:rPr>
          <w:rFonts w:ascii="Times New Roman" w:hAnsi="Times New Roman"/>
          <w:b w:val="0"/>
          <w:i w:val="0"/>
          <w:sz w:val="24"/>
        </w:rPr>
        <w:t>Statistical tests strongly reject the null of equal means in both directions (the institutional mean is lower, not higher, than retail):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E4057"/>
            <w:vAlign w:val="center"/>
          </w:tcPr>
          <w:p>
            <w:pPr>
              <w:jc w:val="center"/>
            </w:pPr>
            <w:r>
              <w:rPr>
                <w:rFonts w:ascii="Times New Roman" w:hAnsi="Times New Roman"/>
                <w:b/>
                <w:i w:val="0"/>
                <w:color w:val="FFFFFF"/>
                <w:sz w:val="20"/>
              </w:rPr>
              <w:t>Test</w:t>
            </w:r>
          </w:p>
        </w:tc>
        <w:tc>
          <w:tcPr>
            <w:tcW w:type="dxa" w:w="4680"/>
            <w:shd w:val="clear" w:color="auto" w:fill="2E4057"/>
            <w:vAlign w:val="center"/>
          </w:tcPr>
          <w:p>
            <w:pPr>
              <w:jc w:val="center"/>
            </w:pPr>
            <w:r>
              <w:rPr>
                <w:rFonts w:ascii="Times New Roman" w:hAnsi="Times New Roman"/>
                <w:b/>
                <w:i w:val="0"/>
                <w:color w:val="FFFFFF"/>
                <w:sz w:val="20"/>
              </w:rPr>
              <w:t>Result</w:t>
            </w:r>
          </w:p>
        </w:tc>
      </w:tr>
      <w:tr>
        <w:tc>
          <w:tcPr>
            <w:tcW w:type="dxa" w:w="4680"/>
            <w:shd w:val="clear" w:color="auto" w:fill="F8F8F8"/>
            <w:vAlign w:val="center"/>
          </w:tcPr>
          <w:p>
            <w:pPr>
              <w:jc w:val="left"/>
            </w:pPr>
            <w:r>
              <w:rPr>
                <w:rFonts w:ascii="Times New Roman" w:hAnsi="Times New Roman"/>
                <w:b w:val="0"/>
                <w:i w:val="0"/>
                <w:sz w:val="20"/>
              </w:rPr>
              <w:t>Independent t-test</w:t>
            </w:r>
          </w:p>
        </w:tc>
        <w:tc>
          <w:tcPr>
            <w:tcW w:type="dxa" w:w="4680"/>
            <w:shd w:val="clear" w:color="auto" w:fill="F8F8F8"/>
            <w:vAlign w:val="center"/>
          </w:tcPr>
          <w:p>
            <w:pPr>
              <w:jc w:val="left"/>
            </w:pPr>
            <w:r>
              <w:rPr>
                <w:rFonts w:ascii="Times New Roman" w:hAnsi="Times New Roman"/>
                <w:b w:val="0"/>
                <w:i w:val="0"/>
                <w:sz w:val="20"/>
              </w:rPr>
              <w:t>t = −9.07,  p &lt; 10⁻¹⁸  (inst &lt; retail)</w:t>
            </w:r>
          </w:p>
        </w:tc>
      </w:tr>
      <w:tr>
        <w:tc>
          <w:tcPr>
            <w:tcW w:type="dxa" w:w="4680"/>
            <w:shd w:val="clear" w:color="auto" w:fill="F8F8F8"/>
            <w:vAlign w:val="center"/>
          </w:tcPr>
          <w:p>
            <w:pPr>
              <w:jc w:val="left"/>
            </w:pPr>
            <w:r>
              <w:rPr>
                <w:rFonts w:ascii="Times New Roman" w:hAnsi="Times New Roman"/>
                <w:b w:val="0"/>
                <w:i w:val="0"/>
                <w:sz w:val="20"/>
              </w:rPr>
              <w:t>Mann-Whitney U (inst &gt; ret)</w:t>
            </w:r>
          </w:p>
        </w:tc>
        <w:tc>
          <w:tcPr>
            <w:tcW w:type="dxa" w:w="4680"/>
            <w:shd w:val="clear" w:color="auto" w:fill="F8F8F8"/>
            <w:vAlign w:val="center"/>
          </w:tcPr>
          <w:p>
            <w:pPr>
              <w:jc w:val="left"/>
            </w:pPr>
            <w:r>
              <w:rPr>
                <w:rFonts w:ascii="Times New Roman" w:hAnsi="Times New Roman"/>
                <w:b w:val="0"/>
                <w:i w:val="0"/>
                <w:sz w:val="20"/>
              </w:rPr>
              <w:t>p = 1.000  (inst is stochastically lower)</w:t>
            </w:r>
          </w:p>
        </w:tc>
      </w:tr>
      <w:tr>
        <w:tc>
          <w:tcPr>
            <w:tcW w:type="dxa" w:w="4680"/>
            <w:shd w:val="clear" w:color="auto" w:fill="F8F8F8"/>
            <w:vAlign w:val="center"/>
          </w:tcPr>
          <w:p>
            <w:pPr>
              <w:jc w:val="left"/>
            </w:pPr>
            <w:r>
              <w:rPr>
                <w:rFonts w:ascii="Times New Roman" w:hAnsi="Times New Roman"/>
                <w:b w:val="0"/>
                <w:i w:val="0"/>
                <w:sz w:val="20"/>
              </w:rPr>
              <w:t>Cohen's d</w:t>
            </w:r>
          </w:p>
        </w:tc>
        <w:tc>
          <w:tcPr>
            <w:tcW w:type="dxa" w:w="4680"/>
            <w:shd w:val="clear" w:color="auto" w:fill="F8F8F8"/>
            <w:vAlign w:val="center"/>
          </w:tcPr>
          <w:p>
            <w:pPr>
              <w:jc w:val="left"/>
            </w:pPr>
            <w:r>
              <w:rPr>
                <w:rFonts w:ascii="Times New Roman" w:hAnsi="Times New Roman"/>
                <w:b w:val="0"/>
                <w:i w:val="0"/>
                <w:sz w:val="20"/>
              </w:rPr>
              <w:t>d = −0.328  (small-to-medium effect, wrong direction)</w:t>
            </w:r>
          </w:p>
        </w:tc>
      </w:tr>
    </w:tbl>
    <w:p>
      <w:pPr>
        <w:spacing w:before="80" w:after="160" w:line="360" w:lineRule="exact"/>
        <w:jc w:val="both"/>
      </w:pPr>
      <w:r>
        <w:rPr>
          <w:rFonts w:ascii="Times New Roman" w:hAnsi="Times New Roman"/>
          <w:b w:val="0"/>
          <w:i w:val="0"/>
          <w:sz w:val="24"/>
        </w:rPr>
        <w:t>Table 3. Statistical tests.</w:t>
      </w:r>
    </w:p>
    <w:p>
      <w:pPr>
        <w:spacing w:before="200" w:after="120"/>
      </w:pPr>
      <w:r>
        <w:rPr>
          <w:rFonts w:ascii="Times New Roman" w:hAnsi="Times New Roman"/>
          <w:b/>
          <w:i w:val="0"/>
          <w:sz w:val="26"/>
        </w:rPr>
        <w:t>3.2 Per-Period Breakdown</w:t>
      </w:r>
    </w:p>
    <w:p>
      <w:pPr>
        <w:spacing w:before="120" w:after="120" w:line="360" w:lineRule="exact"/>
        <w:jc w:val="both"/>
      </w:pPr>
      <w:r>
        <w:rPr>
          <w:rFonts w:ascii="Times New Roman" w:hAnsi="Times New Roman"/>
          <w:b w:val="0"/>
          <w:i w:val="0"/>
          <w:sz w:val="24"/>
        </w:rPr>
        <w:t>The period-level breakdown reveals the structure of the reversal. The single highest-SCI period in the 2017–2026 record is the pre-futures retail era (2017-01-01 to 2017-12-16), with mean SCI=0.801 and 75.9% of windows classified CORE — the purest retail speculation window in the dataset and the one furthest from any institutional infrastructure.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vAlign w:val="center"/>
          </w:tcPr>
          <w:p>
            <w:pPr>
              <w:jc w:val="center"/>
            </w:pPr>
            <w:r>
              <w:rPr>
                <w:rFonts w:ascii="Times New Roman" w:hAnsi="Times New Roman"/>
                <w:b/>
                <w:i w:val="0"/>
                <w:color w:val="FFFFFF"/>
                <w:sz w:val="18"/>
              </w:rPr>
              <w:t>Period</w:t>
            </w:r>
          </w:p>
        </w:tc>
        <w:tc>
          <w:tcPr>
            <w:tcW w:type="dxa" w:w="1560"/>
            <w:shd w:val="clear" w:color="auto" w:fill="2E4057"/>
            <w:vAlign w:val="center"/>
          </w:tcPr>
          <w:p>
            <w:pPr>
              <w:jc w:val="center"/>
            </w:pPr>
            <w:r>
              <w:rPr>
                <w:rFonts w:ascii="Times New Roman" w:hAnsi="Times New Roman"/>
                <w:b/>
                <w:i w:val="0"/>
                <w:color w:val="FFFFFF"/>
                <w:sz w:val="18"/>
              </w:rPr>
              <w:t>Regime</w:t>
            </w:r>
          </w:p>
        </w:tc>
        <w:tc>
          <w:tcPr>
            <w:tcW w:type="dxa" w:w="1560"/>
            <w:shd w:val="clear" w:color="auto" w:fill="2E4057"/>
            <w:vAlign w:val="center"/>
          </w:tcPr>
          <w:p>
            <w:pPr>
              <w:jc w:val="center"/>
            </w:pPr>
            <w:r>
              <w:rPr>
                <w:rFonts w:ascii="Times New Roman" w:hAnsi="Times New Roman"/>
                <w:b/>
                <w:i w:val="0"/>
                <w:color w:val="FFFFFF"/>
                <w:sz w:val="18"/>
              </w:rPr>
              <w:t>N</w:t>
            </w:r>
          </w:p>
        </w:tc>
        <w:tc>
          <w:tcPr>
            <w:tcW w:type="dxa" w:w="1560"/>
            <w:shd w:val="clear" w:color="auto" w:fill="2E4057"/>
            <w:vAlign w:val="center"/>
          </w:tcPr>
          <w:p>
            <w:pPr>
              <w:jc w:val="center"/>
            </w:pPr>
            <w:r>
              <w:rPr>
                <w:rFonts w:ascii="Times New Roman" w:hAnsi="Times New Roman"/>
                <w:b/>
                <w:i w:val="0"/>
                <w:color w:val="FFFFFF"/>
                <w:sz w:val="18"/>
              </w:rPr>
              <w:t>Mean SCI</w:t>
            </w:r>
          </w:p>
        </w:tc>
        <w:tc>
          <w:tcPr>
            <w:tcW w:type="dxa" w:w="1560"/>
            <w:shd w:val="clear" w:color="auto" w:fill="2E4057"/>
            <w:vAlign w:val="center"/>
          </w:tcPr>
          <w:p>
            <w:pPr>
              <w:jc w:val="center"/>
            </w:pPr>
            <w:r>
              <w:rPr>
                <w:rFonts w:ascii="Times New Roman" w:hAnsi="Times New Roman"/>
                <w:b/>
                <w:i w:val="0"/>
                <w:color w:val="FFFFFF"/>
                <w:sz w:val="18"/>
              </w:rPr>
              <w:t>Median SCI</w:t>
            </w:r>
          </w:p>
        </w:tc>
        <w:tc>
          <w:tcPr>
            <w:tcW w:type="dxa" w:w="1560"/>
            <w:shd w:val="clear" w:color="auto" w:fill="2E4057"/>
            <w:vAlign w:val="center"/>
          </w:tcPr>
          <w:p>
            <w:pPr>
              <w:jc w:val="center"/>
            </w:pPr>
            <w:r>
              <w:rPr>
                <w:rFonts w:ascii="Times New Roman" w:hAnsi="Times New Roman"/>
                <w:b/>
                <w:i w:val="0"/>
                <w:color w:val="FFFFFF"/>
                <w:sz w:val="18"/>
              </w:rPr>
              <w:t>% CORE</w:t>
            </w:r>
          </w:p>
        </w:tc>
      </w:tr>
      <w:tr>
        <w:tc>
          <w:tcPr>
            <w:tcW w:type="dxa" w:w="1560"/>
            <w:shd w:val="clear" w:color="auto" w:fill="FDECEA"/>
            <w:vAlign w:val="center"/>
          </w:tcPr>
          <w:p>
            <w:pPr>
              <w:jc w:val="left"/>
            </w:pPr>
            <w:r>
              <w:rPr>
                <w:rFonts w:ascii="Times New Roman" w:hAnsi="Times New Roman"/>
                <w:b w:val="0"/>
                <w:i w:val="0"/>
                <w:sz w:val="18"/>
              </w:rPr>
              <w:t>Pre-Futures Retail</w:t>
            </w:r>
          </w:p>
        </w:tc>
        <w:tc>
          <w:tcPr>
            <w:tcW w:type="dxa" w:w="1560"/>
            <w:shd w:val="clear" w:color="auto" w:fill="FDECEA"/>
            <w:vAlign w:val="center"/>
          </w:tcPr>
          <w:p>
            <w:pPr>
              <w:jc w:val="center"/>
            </w:pPr>
            <w:r>
              <w:rPr>
                <w:rFonts w:ascii="Times New Roman" w:hAnsi="Times New Roman"/>
                <w:b w:val="0"/>
                <w:i w:val="0"/>
                <w:sz w:val="18"/>
              </w:rPr>
              <w:t>Retail</w:t>
            </w:r>
          </w:p>
        </w:tc>
        <w:tc>
          <w:tcPr>
            <w:tcW w:type="dxa" w:w="1560"/>
            <w:shd w:val="clear" w:color="auto" w:fill="FDECEA"/>
            <w:vAlign w:val="center"/>
          </w:tcPr>
          <w:p>
            <w:pPr>
              <w:jc w:val="center"/>
            </w:pPr>
            <w:r>
              <w:rPr>
                <w:rFonts w:ascii="Times New Roman" w:hAnsi="Times New Roman"/>
                <w:b w:val="0"/>
                <w:i w:val="0"/>
                <w:sz w:val="18"/>
              </w:rPr>
              <w:t>286</w:t>
            </w:r>
          </w:p>
        </w:tc>
        <w:tc>
          <w:tcPr>
            <w:tcW w:type="dxa" w:w="1560"/>
            <w:shd w:val="clear" w:color="auto" w:fill="FDECEA"/>
            <w:vAlign w:val="center"/>
          </w:tcPr>
          <w:p>
            <w:pPr>
              <w:jc w:val="center"/>
            </w:pPr>
            <w:r>
              <w:rPr>
                <w:rFonts w:ascii="Times New Roman" w:hAnsi="Times New Roman"/>
                <w:b w:val="0"/>
                <w:i w:val="0"/>
                <w:sz w:val="18"/>
              </w:rPr>
              <w:t>0.801</w:t>
            </w:r>
          </w:p>
        </w:tc>
        <w:tc>
          <w:tcPr>
            <w:tcW w:type="dxa" w:w="1560"/>
            <w:shd w:val="clear" w:color="auto" w:fill="FDECEA"/>
            <w:vAlign w:val="center"/>
          </w:tcPr>
          <w:p>
            <w:pPr>
              <w:jc w:val="center"/>
            </w:pPr>
            <w:r>
              <w:rPr>
                <w:rFonts w:ascii="Times New Roman" w:hAnsi="Times New Roman"/>
                <w:b w:val="0"/>
                <w:i w:val="0"/>
                <w:sz w:val="18"/>
              </w:rPr>
              <w:t>0.838</w:t>
            </w:r>
          </w:p>
        </w:tc>
        <w:tc>
          <w:tcPr>
            <w:tcW w:type="dxa" w:w="1560"/>
            <w:shd w:val="clear" w:color="auto" w:fill="FDECEA"/>
            <w:vAlign w:val="center"/>
          </w:tcPr>
          <w:p>
            <w:pPr>
              <w:jc w:val="center"/>
            </w:pPr>
            <w:r>
              <w:rPr>
                <w:rFonts w:ascii="Times New Roman" w:hAnsi="Times New Roman"/>
                <w:b w:val="0"/>
                <w:i w:val="0"/>
                <w:sz w:val="18"/>
              </w:rPr>
              <w:t>75.9%</w:t>
            </w:r>
          </w:p>
        </w:tc>
      </w:tr>
      <w:tr>
        <w:tc>
          <w:tcPr>
            <w:tcW w:type="dxa" w:w="1560"/>
            <w:shd w:val="clear" w:color="auto" w:fill="FDECEA"/>
            <w:vAlign w:val="center"/>
          </w:tcPr>
          <w:p>
            <w:pPr>
              <w:jc w:val="left"/>
            </w:pPr>
            <w:r>
              <w:rPr>
                <w:rFonts w:ascii="Times New Roman" w:hAnsi="Times New Roman"/>
                <w:b w:val="0"/>
                <w:i w:val="0"/>
                <w:sz w:val="18"/>
              </w:rPr>
              <w:t>China Ban / Mid-Cycle</w:t>
            </w:r>
          </w:p>
        </w:tc>
        <w:tc>
          <w:tcPr>
            <w:tcW w:type="dxa" w:w="1560"/>
            <w:shd w:val="clear" w:color="auto" w:fill="FDECEA"/>
            <w:vAlign w:val="center"/>
          </w:tcPr>
          <w:p>
            <w:pPr>
              <w:jc w:val="center"/>
            </w:pPr>
            <w:r>
              <w:rPr>
                <w:rFonts w:ascii="Times New Roman" w:hAnsi="Times New Roman"/>
                <w:b w:val="0"/>
                <w:i w:val="0"/>
                <w:sz w:val="18"/>
              </w:rPr>
              <w:t>Retail</w:t>
            </w:r>
          </w:p>
        </w:tc>
        <w:tc>
          <w:tcPr>
            <w:tcW w:type="dxa" w:w="1560"/>
            <w:shd w:val="clear" w:color="auto" w:fill="FDECEA"/>
            <w:vAlign w:val="center"/>
          </w:tcPr>
          <w:p>
            <w:pPr>
              <w:jc w:val="center"/>
            </w:pPr>
            <w:r>
              <w:rPr>
                <w:rFonts w:ascii="Times New Roman" w:hAnsi="Times New Roman"/>
                <w:b w:val="0"/>
                <w:i w:val="0"/>
                <w:sz w:val="18"/>
              </w:rPr>
              <w:t>153</w:t>
            </w:r>
          </w:p>
        </w:tc>
        <w:tc>
          <w:tcPr>
            <w:tcW w:type="dxa" w:w="1560"/>
            <w:shd w:val="clear" w:color="auto" w:fill="FDECEA"/>
            <w:vAlign w:val="center"/>
          </w:tcPr>
          <w:p>
            <w:pPr>
              <w:jc w:val="center"/>
            </w:pPr>
            <w:r>
              <w:rPr>
                <w:rFonts w:ascii="Times New Roman" w:hAnsi="Times New Roman"/>
                <w:b w:val="0"/>
                <w:i w:val="0"/>
                <w:sz w:val="18"/>
              </w:rPr>
              <w:t>0.738</w:t>
            </w:r>
          </w:p>
        </w:tc>
        <w:tc>
          <w:tcPr>
            <w:tcW w:type="dxa" w:w="1560"/>
            <w:shd w:val="clear" w:color="auto" w:fill="FDECEA"/>
            <w:vAlign w:val="center"/>
          </w:tcPr>
          <w:p>
            <w:pPr>
              <w:jc w:val="center"/>
            </w:pPr>
            <w:r>
              <w:rPr>
                <w:rFonts w:ascii="Times New Roman" w:hAnsi="Times New Roman"/>
                <w:b w:val="0"/>
                <w:i w:val="0"/>
                <w:sz w:val="18"/>
              </w:rPr>
              <w:t>0.753</w:t>
            </w:r>
          </w:p>
        </w:tc>
        <w:tc>
          <w:tcPr>
            <w:tcW w:type="dxa" w:w="1560"/>
            <w:shd w:val="clear" w:color="auto" w:fill="FDECEA"/>
            <w:vAlign w:val="center"/>
          </w:tcPr>
          <w:p>
            <w:pPr>
              <w:jc w:val="center"/>
            </w:pPr>
            <w:r>
              <w:rPr>
                <w:rFonts w:ascii="Times New Roman" w:hAnsi="Times New Roman"/>
                <w:b w:val="0"/>
                <w:i w:val="0"/>
                <w:sz w:val="18"/>
              </w:rPr>
              <w:t>62.7%</w:t>
            </w:r>
          </w:p>
        </w:tc>
      </w:tr>
      <w:tr>
        <w:tc>
          <w:tcPr>
            <w:tcW w:type="dxa" w:w="1560"/>
            <w:shd w:val="clear" w:color="auto" w:fill="EAF4EA"/>
            <w:vAlign w:val="center"/>
          </w:tcPr>
          <w:p>
            <w:pPr>
              <w:jc w:val="left"/>
            </w:pPr>
            <w:r>
              <w:rPr>
                <w:rFonts w:ascii="Times New Roman" w:hAnsi="Times New Roman"/>
                <w:b w:val="0"/>
                <w:i w:val="0"/>
                <w:sz w:val="18"/>
              </w:rPr>
              <w:t>Spot ETF Era</w:t>
            </w:r>
          </w:p>
        </w:tc>
        <w:tc>
          <w:tcPr>
            <w:tcW w:type="dxa" w:w="1560"/>
            <w:shd w:val="clear" w:color="auto" w:fill="EAF4EA"/>
            <w:vAlign w:val="center"/>
          </w:tcPr>
          <w:p>
            <w:pPr>
              <w:jc w:val="center"/>
            </w:pPr>
            <w:r>
              <w:rPr>
                <w:rFonts w:ascii="Times New Roman" w:hAnsi="Times New Roman"/>
                <w:b w:val="0"/>
                <w:i w:val="0"/>
                <w:sz w:val="18"/>
              </w:rPr>
              <w:t>Institutional</w:t>
            </w:r>
          </w:p>
        </w:tc>
        <w:tc>
          <w:tcPr>
            <w:tcW w:type="dxa" w:w="1560"/>
            <w:shd w:val="clear" w:color="auto" w:fill="EAF4EA"/>
            <w:vAlign w:val="center"/>
          </w:tcPr>
          <w:p>
            <w:pPr>
              <w:jc w:val="center"/>
            </w:pPr>
            <w:r>
              <w:rPr>
                <w:rFonts w:ascii="Times New Roman" w:hAnsi="Times New Roman"/>
                <w:b w:val="0"/>
                <w:i w:val="0"/>
                <w:sz w:val="18"/>
              </w:rPr>
              <w:t>854</w:t>
            </w:r>
          </w:p>
        </w:tc>
        <w:tc>
          <w:tcPr>
            <w:tcW w:type="dxa" w:w="1560"/>
            <w:shd w:val="clear" w:color="auto" w:fill="EAF4EA"/>
            <w:vAlign w:val="center"/>
          </w:tcPr>
          <w:p>
            <w:pPr>
              <w:jc w:val="center"/>
            </w:pPr>
            <w:r>
              <w:rPr>
                <w:rFonts w:ascii="Times New Roman" w:hAnsi="Times New Roman"/>
                <w:b w:val="0"/>
                <w:i w:val="0"/>
                <w:sz w:val="18"/>
              </w:rPr>
              <w:t>0.621</w:t>
            </w:r>
          </w:p>
        </w:tc>
        <w:tc>
          <w:tcPr>
            <w:tcW w:type="dxa" w:w="1560"/>
            <w:shd w:val="clear" w:color="auto" w:fill="EAF4EA"/>
            <w:vAlign w:val="center"/>
          </w:tcPr>
          <w:p>
            <w:pPr>
              <w:jc w:val="center"/>
            </w:pPr>
            <w:r>
              <w:rPr>
                <w:rFonts w:ascii="Times New Roman" w:hAnsi="Times New Roman"/>
                <w:b w:val="0"/>
                <w:i w:val="0"/>
                <w:sz w:val="18"/>
              </w:rPr>
              <w:t>0.630</w:t>
            </w:r>
          </w:p>
        </w:tc>
        <w:tc>
          <w:tcPr>
            <w:tcW w:type="dxa" w:w="1560"/>
            <w:shd w:val="clear" w:color="auto" w:fill="EAF4EA"/>
            <w:vAlign w:val="center"/>
          </w:tcPr>
          <w:p>
            <w:pPr>
              <w:jc w:val="center"/>
            </w:pPr>
            <w:r>
              <w:rPr>
                <w:rFonts w:ascii="Times New Roman" w:hAnsi="Times New Roman"/>
                <w:b w:val="0"/>
                <w:i w:val="0"/>
                <w:sz w:val="18"/>
              </w:rPr>
              <w:t>35.0%</w:t>
            </w:r>
          </w:p>
        </w:tc>
      </w:tr>
      <w:tr>
        <w:tc>
          <w:tcPr>
            <w:tcW w:type="dxa" w:w="1560"/>
            <w:shd w:val="clear" w:color="auto" w:fill="FDECEA"/>
            <w:vAlign w:val="center"/>
          </w:tcPr>
          <w:p>
            <w:pPr>
              <w:jc w:val="left"/>
            </w:pPr>
            <w:r>
              <w:rPr>
                <w:rFonts w:ascii="Times New Roman" w:hAnsi="Times New Roman"/>
                <w:b w:val="0"/>
                <w:i w:val="0"/>
                <w:sz w:val="18"/>
              </w:rPr>
              <w:t>Prolonged Bear / Retail</w:t>
            </w:r>
          </w:p>
        </w:tc>
        <w:tc>
          <w:tcPr>
            <w:tcW w:type="dxa" w:w="1560"/>
            <w:shd w:val="clear" w:color="auto" w:fill="FDECEA"/>
            <w:vAlign w:val="center"/>
          </w:tcPr>
          <w:p>
            <w:pPr>
              <w:jc w:val="center"/>
            </w:pPr>
            <w:r>
              <w:rPr>
                <w:rFonts w:ascii="Times New Roman" w:hAnsi="Times New Roman"/>
                <w:b w:val="0"/>
                <w:i w:val="0"/>
                <w:sz w:val="18"/>
              </w:rPr>
              <w:t>Retail</w:t>
            </w:r>
          </w:p>
        </w:tc>
        <w:tc>
          <w:tcPr>
            <w:tcW w:type="dxa" w:w="1560"/>
            <w:shd w:val="clear" w:color="auto" w:fill="FDECEA"/>
            <w:vAlign w:val="center"/>
          </w:tcPr>
          <w:p>
            <w:pPr>
              <w:jc w:val="center"/>
            </w:pPr>
            <w:r>
              <w:rPr>
                <w:rFonts w:ascii="Times New Roman" w:hAnsi="Times New Roman"/>
                <w:b w:val="0"/>
                <w:i w:val="0"/>
                <w:sz w:val="18"/>
              </w:rPr>
              <w:t>823</w:t>
            </w:r>
          </w:p>
        </w:tc>
        <w:tc>
          <w:tcPr>
            <w:tcW w:type="dxa" w:w="1560"/>
            <w:shd w:val="clear" w:color="auto" w:fill="FDECEA"/>
            <w:vAlign w:val="center"/>
          </w:tcPr>
          <w:p>
            <w:pPr>
              <w:jc w:val="center"/>
            </w:pPr>
            <w:r>
              <w:rPr>
                <w:rFonts w:ascii="Times New Roman" w:hAnsi="Times New Roman"/>
                <w:b w:val="0"/>
                <w:i w:val="0"/>
                <w:sz w:val="18"/>
              </w:rPr>
              <w:t>0.640</w:t>
            </w:r>
          </w:p>
        </w:tc>
        <w:tc>
          <w:tcPr>
            <w:tcW w:type="dxa" w:w="1560"/>
            <w:shd w:val="clear" w:color="auto" w:fill="FDECEA"/>
            <w:vAlign w:val="center"/>
          </w:tcPr>
          <w:p>
            <w:pPr>
              <w:jc w:val="center"/>
            </w:pPr>
            <w:r>
              <w:rPr>
                <w:rFonts w:ascii="Times New Roman" w:hAnsi="Times New Roman"/>
                <w:b w:val="0"/>
                <w:i w:val="0"/>
                <w:sz w:val="18"/>
              </w:rPr>
              <w:t>0.705</w:t>
            </w:r>
          </w:p>
        </w:tc>
        <w:tc>
          <w:tcPr>
            <w:tcW w:type="dxa" w:w="1560"/>
            <w:shd w:val="clear" w:color="auto" w:fill="FDECEA"/>
            <w:vAlign w:val="center"/>
          </w:tcPr>
          <w:p>
            <w:pPr>
              <w:jc w:val="center"/>
            </w:pPr>
            <w:r>
              <w:rPr>
                <w:rFonts w:ascii="Times New Roman" w:hAnsi="Times New Roman"/>
                <w:b w:val="0"/>
                <w:i w:val="0"/>
                <w:sz w:val="18"/>
              </w:rPr>
              <w:t>40.1%</w:t>
            </w:r>
          </w:p>
        </w:tc>
      </w:tr>
      <w:tr>
        <w:tc>
          <w:tcPr>
            <w:tcW w:type="dxa" w:w="1560"/>
            <w:shd w:val="clear" w:color="auto" w:fill="FDECEA"/>
            <w:vAlign w:val="center"/>
          </w:tcPr>
          <w:p>
            <w:pPr>
              <w:jc w:val="left"/>
            </w:pPr>
            <w:r>
              <w:rPr>
                <w:rFonts w:ascii="Times New Roman" w:hAnsi="Times New Roman"/>
                <w:b w:val="0"/>
                <w:i w:val="0"/>
                <w:sz w:val="18"/>
              </w:rPr>
              <w:t>FTX Collapse / Crypto Winter</w:t>
            </w:r>
          </w:p>
        </w:tc>
        <w:tc>
          <w:tcPr>
            <w:tcW w:type="dxa" w:w="1560"/>
            <w:shd w:val="clear" w:color="auto" w:fill="FDECEA"/>
            <w:vAlign w:val="center"/>
          </w:tcPr>
          <w:p>
            <w:pPr>
              <w:jc w:val="center"/>
            </w:pPr>
            <w:r>
              <w:rPr>
                <w:rFonts w:ascii="Times New Roman" w:hAnsi="Times New Roman"/>
                <w:b w:val="0"/>
                <w:i w:val="0"/>
                <w:sz w:val="18"/>
              </w:rPr>
              <w:t>Retail</w:t>
            </w:r>
          </w:p>
        </w:tc>
        <w:tc>
          <w:tcPr>
            <w:tcW w:type="dxa" w:w="1560"/>
            <w:shd w:val="clear" w:color="auto" w:fill="FDECEA"/>
            <w:vAlign w:val="center"/>
          </w:tcPr>
          <w:p>
            <w:pPr>
              <w:jc w:val="center"/>
            </w:pPr>
            <w:r>
              <w:rPr>
                <w:rFonts w:ascii="Times New Roman" w:hAnsi="Times New Roman"/>
                <w:b w:val="0"/>
                <w:i w:val="0"/>
                <w:sz w:val="18"/>
              </w:rPr>
              <w:t>426</w:t>
            </w:r>
          </w:p>
        </w:tc>
        <w:tc>
          <w:tcPr>
            <w:tcW w:type="dxa" w:w="1560"/>
            <w:shd w:val="clear" w:color="auto" w:fill="FDECEA"/>
            <w:vAlign w:val="center"/>
          </w:tcPr>
          <w:p>
            <w:pPr>
              <w:jc w:val="center"/>
            </w:pPr>
            <w:r>
              <w:rPr>
                <w:rFonts w:ascii="Times New Roman" w:hAnsi="Times New Roman"/>
                <w:b w:val="0"/>
                <w:i w:val="0"/>
                <w:sz w:val="18"/>
              </w:rPr>
              <w:t>0.653</w:t>
            </w:r>
          </w:p>
        </w:tc>
        <w:tc>
          <w:tcPr>
            <w:tcW w:type="dxa" w:w="1560"/>
            <w:shd w:val="clear" w:color="auto" w:fill="FDECEA"/>
            <w:vAlign w:val="center"/>
          </w:tcPr>
          <w:p>
            <w:pPr>
              <w:jc w:val="center"/>
            </w:pPr>
            <w:r>
              <w:rPr>
                <w:rFonts w:ascii="Times New Roman" w:hAnsi="Times New Roman"/>
                <w:b w:val="0"/>
                <w:i w:val="0"/>
                <w:sz w:val="18"/>
              </w:rPr>
              <w:t>0.718</w:t>
            </w:r>
          </w:p>
        </w:tc>
        <w:tc>
          <w:tcPr>
            <w:tcW w:type="dxa" w:w="1560"/>
            <w:shd w:val="clear" w:color="auto" w:fill="FDECEA"/>
            <w:vAlign w:val="center"/>
          </w:tcPr>
          <w:p>
            <w:pPr>
              <w:jc w:val="center"/>
            </w:pPr>
            <w:r>
              <w:rPr>
                <w:rFonts w:ascii="Times New Roman" w:hAnsi="Times New Roman"/>
                <w:b w:val="0"/>
                <w:i w:val="0"/>
                <w:sz w:val="18"/>
              </w:rPr>
              <w:t>36.6%</w:t>
            </w:r>
          </w:p>
        </w:tc>
      </w:tr>
      <w:tr>
        <w:tc>
          <w:tcPr>
            <w:tcW w:type="dxa" w:w="1560"/>
            <w:shd w:val="clear" w:color="auto" w:fill="FDECEA"/>
            <w:vAlign w:val="center"/>
          </w:tcPr>
          <w:p>
            <w:pPr>
              <w:jc w:val="left"/>
            </w:pPr>
            <w:r>
              <w:rPr>
                <w:rFonts w:ascii="Times New Roman" w:hAnsi="Times New Roman"/>
                <w:b w:val="0"/>
                <w:i w:val="0"/>
                <w:sz w:val="18"/>
              </w:rPr>
              <w:t>Luna/3AC Collapse</w:t>
            </w:r>
          </w:p>
        </w:tc>
        <w:tc>
          <w:tcPr>
            <w:tcW w:type="dxa" w:w="1560"/>
            <w:shd w:val="clear" w:color="auto" w:fill="FDECEA"/>
            <w:vAlign w:val="center"/>
          </w:tcPr>
          <w:p>
            <w:pPr>
              <w:jc w:val="center"/>
            </w:pPr>
            <w:r>
              <w:rPr>
                <w:rFonts w:ascii="Times New Roman" w:hAnsi="Times New Roman"/>
                <w:b w:val="0"/>
                <w:i w:val="0"/>
                <w:sz w:val="18"/>
              </w:rPr>
              <w:t>Retail</w:t>
            </w:r>
          </w:p>
        </w:tc>
        <w:tc>
          <w:tcPr>
            <w:tcW w:type="dxa" w:w="1560"/>
            <w:shd w:val="clear" w:color="auto" w:fill="FDECEA"/>
            <w:vAlign w:val="center"/>
          </w:tcPr>
          <w:p>
            <w:pPr>
              <w:jc w:val="center"/>
            </w:pPr>
            <w:r>
              <w:rPr>
                <w:rFonts w:ascii="Times New Roman" w:hAnsi="Times New Roman"/>
                <w:b w:val="0"/>
                <w:i w:val="0"/>
                <w:sz w:val="18"/>
              </w:rPr>
              <w:t>92</w:t>
            </w:r>
          </w:p>
        </w:tc>
        <w:tc>
          <w:tcPr>
            <w:tcW w:type="dxa" w:w="1560"/>
            <w:shd w:val="clear" w:color="auto" w:fill="FDECEA"/>
            <w:vAlign w:val="center"/>
          </w:tcPr>
          <w:p>
            <w:pPr>
              <w:jc w:val="center"/>
            </w:pPr>
            <w:r>
              <w:rPr>
                <w:rFonts w:ascii="Times New Roman" w:hAnsi="Times New Roman"/>
                <w:b w:val="0"/>
                <w:i w:val="0"/>
                <w:sz w:val="18"/>
              </w:rPr>
              <w:t>0.654</w:t>
            </w:r>
          </w:p>
        </w:tc>
        <w:tc>
          <w:tcPr>
            <w:tcW w:type="dxa" w:w="1560"/>
            <w:shd w:val="clear" w:color="auto" w:fill="FDECEA"/>
            <w:vAlign w:val="center"/>
          </w:tcPr>
          <w:p>
            <w:pPr>
              <w:jc w:val="center"/>
            </w:pPr>
            <w:r>
              <w:rPr>
                <w:rFonts w:ascii="Times New Roman" w:hAnsi="Times New Roman"/>
                <w:b w:val="0"/>
                <w:i w:val="0"/>
                <w:sz w:val="18"/>
              </w:rPr>
              <w:t>0.695</w:t>
            </w:r>
          </w:p>
        </w:tc>
        <w:tc>
          <w:tcPr>
            <w:tcW w:type="dxa" w:w="1560"/>
            <w:shd w:val="clear" w:color="auto" w:fill="FDECEA"/>
            <w:vAlign w:val="center"/>
          </w:tcPr>
          <w:p>
            <w:pPr>
              <w:jc w:val="center"/>
            </w:pPr>
            <w:r>
              <w:rPr>
                <w:rFonts w:ascii="Times New Roman" w:hAnsi="Times New Roman"/>
                <w:b w:val="0"/>
                <w:i w:val="0"/>
                <w:sz w:val="18"/>
              </w:rPr>
              <w:t>37.0%</w:t>
            </w:r>
          </w:p>
        </w:tc>
      </w:tr>
      <w:tr>
        <w:tc>
          <w:tcPr>
            <w:tcW w:type="dxa" w:w="1560"/>
            <w:shd w:val="clear" w:color="auto" w:fill="EAF4EA"/>
            <w:vAlign w:val="center"/>
          </w:tcPr>
          <w:p>
            <w:pPr>
              <w:jc w:val="left"/>
            </w:pPr>
            <w:r>
              <w:rPr>
                <w:rFonts w:ascii="Times New Roman" w:hAnsi="Times New Roman"/>
                <w:b w:val="0"/>
                <w:i w:val="0"/>
                <w:sz w:val="18"/>
              </w:rPr>
              <w:t>Corporate Treasury Wave</w:t>
            </w:r>
          </w:p>
        </w:tc>
        <w:tc>
          <w:tcPr>
            <w:tcW w:type="dxa" w:w="1560"/>
            <w:shd w:val="clear" w:color="auto" w:fill="EAF4EA"/>
            <w:vAlign w:val="center"/>
          </w:tcPr>
          <w:p>
            <w:pPr>
              <w:jc w:val="center"/>
            </w:pPr>
            <w:r>
              <w:rPr>
                <w:rFonts w:ascii="Times New Roman" w:hAnsi="Times New Roman"/>
                <w:b w:val="0"/>
                <w:i w:val="0"/>
                <w:sz w:val="18"/>
              </w:rPr>
              <w:t>Institutional</w:t>
            </w:r>
          </w:p>
        </w:tc>
        <w:tc>
          <w:tcPr>
            <w:tcW w:type="dxa" w:w="1560"/>
            <w:shd w:val="clear" w:color="auto" w:fill="EAF4EA"/>
            <w:vAlign w:val="center"/>
          </w:tcPr>
          <w:p>
            <w:pPr>
              <w:jc w:val="center"/>
            </w:pPr>
            <w:r>
              <w:rPr>
                <w:rFonts w:ascii="Times New Roman" w:hAnsi="Times New Roman"/>
                <w:b w:val="0"/>
                <w:i w:val="0"/>
                <w:sz w:val="18"/>
              </w:rPr>
              <w:t>212</w:t>
            </w:r>
          </w:p>
        </w:tc>
        <w:tc>
          <w:tcPr>
            <w:tcW w:type="dxa" w:w="1560"/>
            <w:shd w:val="clear" w:color="auto" w:fill="EAF4EA"/>
            <w:vAlign w:val="center"/>
          </w:tcPr>
          <w:p>
            <w:pPr>
              <w:jc w:val="center"/>
            </w:pPr>
            <w:r>
              <w:rPr>
                <w:rFonts w:ascii="Times New Roman" w:hAnsi="Times New Roman"/>
                <w:b w:val="0"/>
                <w:i w:val="0"/>
                <w:sz w:val="18"/>
              </w:rPr>
              <w:t>0.606</w:t>
            </w:r>
          </w:p>
        </w:tc>
        <w:tc>
          <w:tcPr>
            <w:tcW w:type="dxa" w:w="1560"/>
            <w:shd w:val="clear" w:color="auto" w:fill="EAF4EA"/>
            <w:vAlign w:val="center"/>
          </w:tcPr>
          <w:p>
            <w:pPr>
              <w:jc w:val="center"/>
            </w:pPr>
            <w:r>
              <w:rPr>
                <w:rFonts w:ascii="Times New Roman" w:hAnsi="Times New Roman"/>
                <w:b w:val="0"/>
                <w:i w:val="0"/>
                <w:sz w:val="18"/>
              </w:rPr>
              <w:t>0.614</w:t>
            </w:r>
          </w:p>
        </w:tc>
        <w:tc>
          <w:tcPr>
            <w:tcW w:type="dxa" w:w="1560"/>
            <w:shd w:val="clear" w:color="auto" w:fill="EAF4EA"/>
            <w:vAlign w:val="center"/>
          </w:tcPr>
          <w:p>
            <w:pPr>
              <w:jc w:val="center"/>
            </w:pPr>
            <w:r>
              <w:rPr>
                <w:rFonts w:ascii="Times New Roman" w:hAnsi="Times New Roman"/>
                <w:b w:val="0"/>
                <w:i w:val="0"/>
                <w:sz w:val="18"/>
              </w:rPr>
              <w:t>28.8%</w:t>
            </w:r>
          </w:p>
        </w:tc>
      </w:tr>
      <w:tr>
        <w:tc>
          <w:tcPr>
            <w:tcW w:type="dxa" w:w="1560"/>
            <w:shd w:val="clear" w:color="auto" w:fill="FDECEA"/>
            <w:vAlign w:val="center"/>
          </w:tcPr>
          <w:p>
            <w:pPr>
              <w:jc w:val="left"/>
            </w:pPr>
            <w:r>
              <w:rPr>
                <w:rFonts w:ascii="Times New Roman" w:hAnsi="Times New Roman"/>
                <w:b w:val="0"/>
                <w:i w:val="0"/>
                <w:sz w:val="18"/>
              </w:rPr>
              <w:t>Post-ATH Deleveraging</w:t>
            </w:r>
          </w:p>
        </w:tc>
        <w:tc>
          <w:tcPr>
            <w:tcW w:type="dxa" w:w="1560"/>
            <w:shd w:val="clear" w:color="auto" w:fill="FDECEA"/>
            <w:vAlign w:val="center"/>
          </w:tcPr>
          <w:p>
            <w:pPr>
              <w:jc w:val="center"/>
            </w:pPr>
            <w:r>
              <w:rPr>
                <w:rFonts w:ascii="Times New Roman" w:hAnsi="Times New Roman"/>
                <w:b w:val="0"/>
                <w:i w:val="0"/>
                <w:sz w:val="18"/>
              </w:rPr>
              <w:t>Retail</w:t>
            </w:r>
          </w:p>
        </w:tc>
        <w:tc>
          <w:tcPr>
            <w:tcW w:type="dxa" w:w="1560"/>
            <w:shd w:val="clear" w:color="auto" w:fill="FDECEA"/>
            <w:vAlign w:val="center"/>
          </w:tcPr>
          <w:p>
            <w:pPr>
              <w:jc w:val="center"/>
            </w:pPr>
            <w:r>
              <w:rPr>
                <w:rFonts w:ascii="Times New Roman" w:hAnsi="Times New Roman"/>
                <w:b w:val="0"/>
                <w:i w:val="0"/>
                <w:sz w:val="18"/>
              </w:rPr>
              <w:t>82</w:t>
            </w:r>
          </w:p>
        </w:tc>
        <w:tc>
          <w:tcPr>
            <w:tcW w:type="dxa" w:w="1560"/>
            <w:shd w:val="clear" w:color="auto" w:fill="FDECEA"/>
            <w:vAlign w:val="center"/>
          </w:tcPr>
          <w:p>
            <w:pPr>
              <w:jc w:val="center"/>
            </w:pPr>
            <w:r>
              <w:rPr>
                <w:rFonts w:ascii="Times New Roman" w:hAnsi="Times New Roman"/>
                <w:b w:val="0"/>
                <w:i w:val="0"/>
                <w:sz w:val="18"/>
              </w:rPr>
              <w:t>0.634</w:t>
            </w:r>
          </w:p>
        </w:tc>
        <w:tc>
          <w:tcPr>
            <w:tcW w:type="dxa" w:w="1560"/>
            <w:shd w:val="clear" w:color="auto" w:fill="FDECEA"/>
            <w:vAlign w:val="center"/>
          </w:tcPr>
          <w:p>
            <w:pPr>
              <w:jc w:val="center"/>
            </w:pPr>
            <w:r>
              <w:rPr>
                <w:rFonts w:ascii="Times New Roman" w:hAnsi="Times New Roman"/>
                <w:b w:val="0"/>
                <w:i w:val="0"/>
                <w:sz w:val="18"/>
              </w:rPr>
              <w:t>0.629</w:t>
            </w:r>
          </w:p>
        </w:tc>
        <w:tc>
          <w:tcPr>
            <w:tcW w:type="dxa" w:w="1560"/>
            <w:shd w:val="clear" w:color="auto" w:fill="FDECEA"/>
            <w:vAlign w:val="center"/>
          </w:tcPr>
          <w:p>
            <w:pPr>
              <w:jc w:val="center"/>
            </w:pPr>
            <w:r>
              <w:rPr>
                <w:rFonts w:ascii="Times New Roman" w:hAnsi="Times New Roman"/>
                <w:b w:val="0"/>
                <w:i w:val="0"/>
                <w:sz w:val="18"/>
              </w:rPr>
              <w:t>24.4%</w:t>
            </w:r>
          </w:p>
        </w:tc>
      </w:tr>
      <w:tr>
        <w:tc>
          <w:tcPr>
            <w:tcW w:type="dxa" w:w="1560"/>
            <w:shd w:val="clear" w:color="auto" w:fill="EAF4EA"/>
            <w:vAlign w:val="center"/>
          </w:tcPr>
          <w:p>
            <w:pPr>
              <w:jc w:val="left"/>
            </w:pPr>
            <w:r>
              <w:rPr>
                <w:rFonts w:ascii="Times New Roman" w:hAnsi="Times New Roman"/>
                <w:b w:val="0"/>
                <w:i w:val="0"/>
                <w:sz w:val="18"/>
              </w:rPr>
              <w:t>CME/CBOE Futures Era</w:t>
            </w:r>
          </w:p>
        </w:tc>
        <w:tc>
          <w:tcPr>
            <w:tcW w:type="dxa" w:w="1560"/>
            <w:shd w:val="clear" w:color="auto" w:fill="EAF4EA"/>
            <w:vAlign w:val="center"/>
          </w:tcPr>
          <w:p>
            <w:pPr>
              <w:jc w:val="center"/>
            </w:pPr>
            <w:r>
              <w:rPr>
                <w:rFonts w:ascii="Times New Roman" w:hAnsi="Times New Roman"/>
                <w:b w:val="0"/>
                <w:i w:val="0"/>
                <w:sz w:val="18"/>
              </w:rPr>
              <w:t>Institutional</w:t>
            </w:r>
          </w:p>
        </w:tc>
        <w:tc>
          <w:tcPr>
            <w:tcW w:type="dxa" w:w="1560"/>
            <w:shd w:val="clear" w:color="auto" w:fill="EAF4EA"/>
            <w:vAlign w:val="center"/>
          </w:tcPr>
          <w:p>
            <w:pPr>
              <w:jc w:val="center"/>
            </w:pPr>
            <w:r>
              <w:rPr>
                <w:rFonts w:ascii="Times New Roman" w:hAnsi="Times New Roman"/>
                <w:b w:val="0"/>
                <w:i w:val="0"/>
                <w:sz w:val="18"/>
              </w:rPr>
              <w:t>196</w:t>
            </w:r>
          </w:p>
        </w:tc>
        <w:tc>
          <w:tcPr>
            <w:tcW w:type="dxa" w:w="1560"/>
            <w:shd w:val="clear" w:color="auto" w:fill="EAF4EA"/>
            <w:vAlign w:val="center"/>
          </w:tcPr>
          <w:p>
            <w:pPr>
              <w:jc w:val="center"/>
            </w:pPr>
            <w:r>
              <w:rPr>
                <w:rFonts w:ascii="Times New Roman" w:hAnsi="Times New Roman"/>
                <w:b w:val="0"/>
                <w:i w:val="0"/>
                <w:sz w:val="18"/>
              </w:rPr>
              <w:t>0.562</w:t>
            </w:r>
          </w:p>
        </w:tc>
        <w:tc>
          <w:tcPr>
            <w:tcW w:type="dxa" w:w="1560"/>
            <w:shd w:val="clear" w:color="auto" w:fill="EAF4EA"/>
            <w:vAlign w:val="center"/>
          </w:tcPr>
          <w:p>
            <w:pPr>
              <w:jc w:val="center"/>
            </w:pPr>
            <w:r>
              <w:rPr>
                <w:rFonts w:ascii="Times New Roman" w:hAnsi="Times New Roman"/>
                <w:b w:val="0"/>
                <w:i w:val="0"/>
                <w:sz w:val="18"/>
              </w:rPr>
              <w:t>0.552</w:t>
            </w:r>
          </w:p>
        </w:tc>
        <w:tc>
          <w:tcPr>
            <w:tcW w:type="dxa" w:w="1560"/>
            <w:shd w:val="clear" w:color="auto" w:fill="EAF4EA"/>
            <w:vAlign w:val="center"/>
          </w:tcPr>
          <w:p>
            <w:pPr>
              <w:jc w:val="center"/>
            </w:pPr>
            <w:r>
              <w:rPr>
                <w:rFonts w:ascii="Times New Roman" w:hAnsi="Times New Roman"/>
                <w:b w:val="0"/>
                <w:i w:val="0"/>
                <w:sz w:val="18"/>
              </w:rPr>
              <w:t>28.1%</w:t>
            </w:r>
          </w:p>
        </w:tc>
      </w:tr>
      <w:tr>
        <w:tc>
          <w:tcPr>
            <w:tcW w:type="dxa" w:w="1560"/>
            <w:shd w:val="clear" w:color="auto" w:fill="EAF4EA"/>
            <w:vAlign w:val="center"/>
          </w:tcPr>
          <w:p>
            <w:pPr>
              <w:jc w:val="left"/>
            </w:pPr>
            <w:r>
              <w:rPr>
                <w:rFonts w:ascii="Times New Roman" w:hAnsi="Times New Roman"/>
                <w:b w:val="0"/>
                <w:i w:val="0"/>
                <w:sz w:val="18"/>
              </w:rPr>
              <w:t>ProShares ETF / ATH</w:t>
            </w:r>
          </w:p>
        </w:tc>
        <w:tc>
          <w:tcPr>
            <w:tcW w:type="dxa" w:w="1560"/>
            <w:shd w:val="clear" w:color="auto" w:fill="EAF4EA"/>
            <w:vAlign w:val="center"/>
          </w:tcPr>
          <w:p>
            <w:pPr>
              <w:jc w:val="center"/>
            </w:pPr>
            <w:r>
              <w:rPr>
                <w:rFonts w:ascii="Times New Roman" w:hAnsi="Times New Roman"/>
                <w:b w:val="0"/>
                <w:i w:val="0"/>
                <w:sz w:val="18"/>
              </w:rPr>
              <w:t>Institutional</w:t>
            </w:r>
          </w:p>
        </w:tc>
        <w:tc>
          <w:tcPr>
            <w:tcW w:type="dxa" w:w="1560"/>
            <w:shd w:val="clear" w:color="auto" w:fill="EAF4EA"/>
            <w:vAlign w:val="center"/>
          </w:tcPr>
          <w:p>
            <w:pPr>
              <w:jc w:val="center"/>
            </w:pPr>
            <w:r>
              <w:rPr>
                <w:rFonts w:ascii="Times New Roman" w:hAnsi="Times New Roman"/>
                <w:b w:val="0"/>
                <w:i w:val="0"/>
                <w:sz w:val="18"/>
              </w:rPr>
              <w:t>41</w:t>
            </w:r>
          </w:p>
        </w:tc>
        <w:tc>
          <w:tcPr>
            <w:tcW w:type="dxa" w:w="1560"/>
            <w:shd w:val="clear" w:color="auto" w:fill="EAF4EA"/>
            <w:vAlign w:val="center"/>
          </w:tcPr>
          <w:p>
            <w:pPr>
              <w:jc w:val="center"/>
            </w:pPr>
            <w:r>
              <w:rPr>
                <w:rFonts w:ascii="Times New Roman" w:hAnsi="Times New Roman"/>
                <w:b w:val="0"/>
                <w:i w:val="0"/>
                <w:sz w:val="18"/>
              </w:rPr>
              <w:t>0.567</w:t>
            </w:r>
          </w:p>
        </w:tc>
        <w:tc>
          <w:tcPr>
            <w:tcW w:type="dxa" w:w="1560"/>
            <w:shd w:val="clear" w:color="auto" w:fill="EAF4EA"/>
            <w:vAlign w:val="center"/>
          </w:tcPr>
          <w:p>
            <w:pPr>
              <w:jc w:val="center"/>
            </w:pPr>
            <w:r>
              <w:rPr>
                <w:rFonts w:ascii="Times New Roman" w:hAnsi="Times New Roman"/>
                <w:b w:val="0"/>
                <w:i w:val="0"/>
                <w:sz w:val="18"/>
              </w:rPr>
              <w:t>0.549</w:t>
            </w:r>
          </w:p>
        </w:tc>
        <w:tc>
          <w:tcPr>
            <w:tcW w:type="dxa" w:w="1560"/>
            <w:shd w:val="clear" w:color="auto" w:fill="EAF4EA"/>
            <w:vAlign w:val="center"/>
          </w:tcPr>
          <w:p>
            <w:pPr>
              <w:jc w:val="center"/>
            </w:pPr>
            <w:r>
              <w:rPr>
                <w:rFonts w:ascii="Times New Roman" w:hAnsi="Times New Roman"/>
                <w:b w:val="0"/>
                <w:i w:val="0"/>
                <w:sz w:val="18"/>
              </w:rPr>
              <w:t>7.3%</w:t>
            </w:r>
          </w:p>
        </w:tc>
      </w:tr>
    </w:tbl>
    <w:p>
      <w:pPr>
        <w:spacing w:before="80" w:after="200" w:line="360" w:lineRule="exact"/>
        <w:jc w:val="both"/>
      </w:pPr>
      <w:r>
        <w:rPr>
          <w:rFonts w:ascii="Times New Roman" w:hAnsi="Times New Roman"/>
          <w:b w:val="0"/>
          <w:i w:val="0"/>
          <w:sz w:val="24"/>
        </w:rPr>
        <w:t>Table 4. Per-period SCI breakdown, sorted descending by mean SCI.</w:t>
      </w:r>
    </w:p>
    <w:p>
      <w:pPr>
        <w:spacing w:before="200" w:after="120"/>
      </w:pPr>
      <w:r>
        <w:rPr>
          <w:rFonts w:ascii="Times New Roman" w:hAnsi="Times New Roman"/>
          <w:b/>
          <w:i w:val="0"/>
          <w:sz w:val="26"/>
        </w:rPr>
        <w:t>3.3 SCI vs. GBTC Price Correlation</w:t>
      </w:r>
    </w:p>
    <w:p>
      <w:pPr>
        <w:spacing w:before="120" w:after="120" w:line="360" w:lineRule="exact"/>
        <w:jc w:val="both"/>
      </w:pPr>
      <w:r>
        <w:rPr>
          <w:rFonts w:ascii="Times New Roman" w:hAnsi="Times New Roman"/>
          <w:b w:val="0"/>
          <w:i w:val="0"/>
          <w:sz w:val="24"/>
        </w:rPr>
        <w:t>Pearson correlation between the 90-day rolling SCI and contemporaneous GBTC closing price was computed across the overlapping sample. A positive correlation would support the institutional-SCI hypothesis; a negative or null correlation would contradict it. The result was consistent with the primary finding: rolling SCI was not positively correlated with GBTC price in a way that would confirm the institutional hypothesis. During GBTC's peak institutional demand period (2020–2021), SCI was at intermediate levels, while the highest SCI readings occurred in the pre-GBTC-surge retail era of 2017.</w:t>
      </w:r>
    </w:p>
    <w:p>
      <w:pPr>
        <w:spacing w:before="280" w:after="120"/>
      </w:pPr>
      <w:r>
        <w:rPr>
          <w:rFonts w:ascii="Times New Roman" w:hAnsi="Times New Roman"/>
          <w:b/>
          <w:i w:val="0"/>
          <w:sz w:val="28"/>
        </w:rPr>
        <w:t>4. Discussion</w:t>
      </w:r>
    </w:p>
    <w:p>
      <w:pPr>
        <w:spacing w:before="200" w:after="120"/>
      </w:pPr>
      <w:r>
        <w:rPr>
          <w:rFonts w:ascii="Times New Roman" w:hAnsi="Times New Roman"/>
          <w:b/>
          <w:i w:val="0"/>
          <w:sz w:val="26"/>
        </w:rPr>
        <w:t>4.1 Why the Hypothesis Was Falsified</w:t>
      </w:r>
    </w:p>
    <w:p>
      <w:pPr>
        <w:spacing w:before="120" w:after="120" w:line="360" w:lineRule="exact"/>
        <w:jc w:val="both"/>
      </w:pPr>
      <w:r>
        <w:rPr>
          <w:rFonts w:ascii="Times New Roman" w:hAnsi="Times New Roman"/>
          <w:b w:val="0"/>
          <w:i w:val="0"/>
          <w:sz w:val="24"/>
        </w:rPr>
        <w:t>The mechanism underlying the prediction was that institutional participation creates the feedback infrastructure — ETF rebalancing, systematic factor arbitrage, index inclusion mechanics — that generates structural coherence in equity markets. This mechanism does operate in equities: the CORE-classified instruments (major indices, large-cap equities) sit inside dense networks of forced correlation through passive vehicles and macro factor hedging.</w:t>
      </w:r>
    </w:p>
    <w:p>
      <w:pPr>
        <w:spacing w:before="120" w:after="120" w:line="360" w:lineRule="exact"/>
        <w:jc w:val="both"/>
      </w:pPr>
      <w:r>
        <w:rPr>
          <w:rFonts w:ascii="Times New Roman" w:hAnsi="Times New Roman"/>
          <w:b w:val="0"/>
          <w:i w:val="0"/>
          <w:sz w:val="24"/>
        </w:rPr>
        <w:t>Bitcoin's institutional ecosystem differs in a crucial way. The arrival of CME futures (December 2017), the ProShares ETF (October 2021), and the spot ETF (January 2024) introduced arbitrage mechanisms between spot and derivatives, not rebalancing cascades. Futures arbitrageurs actively trade basis spreads, flattening momentum. Derivatives desks delta-hedge, creating contra-directional flows. These are coherence-reducing mechanisms in the short-term frequency range that SCI targets.</w:t>
      </w:r>
    </w:p>
    <w:p>
      <w:pPr>
        <w:spacing w:before="200" w:after="120"/>
      </w:pPr>
      <w:r>
        <w:rPr>
          <w:rFonts w:ascii="Times New Roman" w:hAnsi="Times New Roman"/>
          <w:b/>
          <w:i w:val="0"/>
          <w:sz w:val="26"/>
        </w:rPr>
        <w:t>4.2 Revised Interpretation: Two Pathways to Structural Coherence</w:t>
      </w:r>
    </w:p>
    <w:p>
      <w:pPr>
        <w:spacing w:before="120" w:after="120" w:line="360" w:lineRule="exact"/>
        <w:jc w:val="both"/>
      </w:pPr>
      <w:r>
        <w:rPr>
          <w:rFonts w:ascii="Times New Roman" w:hAnsi="Times New Roman"/>
          <w:b w:val="0"/>
          <w:i w:val="0"/>
          <w:sz w:val="24"/>
        </w:rPr>
        <w:t>The results suggest that SCI detects structural coherence regardless of its mechanistic source, but the two primary sources produce different temporal signatures:</w:t>
      </w:r>
    </w:p>
    <w:p>
      <w:pPr>
        <w:spacing w:before="120" w:after="120" w:line="360" w:lineRule="exact"/>
        <w:jc w:val="both"/>
      </w:pPr>
      <w:r>
        <w:rPr>
          <w:rFonts w:ascii="Times New Roman" w:hAnsi="Times New Roman"/>
          <w:b w:val="0"/>
          <w:i w:val="0"/>
          <w:sz w:val="24"/>
        </w:rPr>
        <w:t>Pathway 1 — Institutional Feedback (equity markets): Coherence is built through forced rebalancing cascades, index arbitrage, and macro factor networks. This is persistent and monotonically related to institutional depth. CORE stocks maintain high SCI across all market conditions because the feedback infrastructure is always active.</w:t>
      </w:r>
    </w:p>
    <w:p>
      <w:pPr>
        <w:spacing w:before="120" w:after="120" w:line="360" w:lineRule="exact"/>
        <w:jc w:val="both"/>
      </w:pPr>
      <w:r>
        <w:rPr>
          <w:rFonts w:ascii="Times New Roman" w:hAnsi="Times New Roman"/>
          <w:b w:val="0"/>
          <w:i w:val="0"/>
          <w:sz w:val="24"/>
        </w:rPr>
        <w:t>Pathway 2 — Retail Speculative Synchrony (Bitcoin 2017): Coherence is built through herding — market participants synchronizing on a shared narrative and momentum signal. This produces extremely high SCI during bubble formation (BTC 2017: SCI=0.801) but collapses when the narrative breaks or when institutional arbitrage arrives to exploit and flatten the momentum.</w:t>
      </w:r>
    </w:p>
    <w:p>
      <w:pPr>
        <w:spacing w:before="120" w:after="120" w:line="360" w:lineRule="exact"/>
        <w:jc w:val="both"/>
      </w:pPr>
      <w:r>
        <w:rPr>
          <w:rFonts w:ascii="Times New Roman" w:hAnsi="Times New Roman"/>
          <w:b w:val="0"/>
          <w:i w:val="0"/>
          <w:sz w:val="24"/>
        </w:rPr>
        <w:t>Under this revised interpretation, the 2017 pre-futures period was the most structurally coherent Bitcoin regime precisely because it was the most purely retail — a single coherent narrative (cryptocurrency to mainstream), propagating through synchronized retail participation with no derivatives to hedge against. When CME futures launched, the SCI declined, not because institutions bring coherence, but because futures arbitrage attacked the momentum structure that retail herding had created.</w:t>
      </w:r>
    </w:p>
    <w:p>
      <w:pPr>
        <w:spacing w:before="200" w:after="120"/>
      </w:pPr>
      <w:r>
        <w:rPr>
          <w:rFonts w:ascii="Times New Roman" w:hAnsi="Times New Roman"/>
          <w:b/>
          <w:i w:val="0"/>
          <w:sz w:val="26"/>
        </w:rPr>
        <w:t>4.3 The Spot ETF Era (2024–present)</w:t>
      </w:r>
    </w:p>
    <w:p>
      <w:pPr>
        <w:spacing w:before="120" w:after="120" w:line="360" w:lineRule="exact"/>
        <w:jc w:val="both"/>
      </w:pPr>
      <w:r>
        <w:rPr>
          <w:rFonts w:ascii="Times New Roman" w:hAnsi="Times New Roman"/>
          <w:b w:val="0"/>
          <w:i w:val="0"/>
          <w:sz w:val="24"/>
        </w:rPr>
        <w:t>The Spot ETF Era (January 2024 onward) shows intermediate SCI (0.621, 35% CORE), meaningfully above the CME futures era (0.562) but below the pure retail peak (0.801). This is consistent with a hybrid regime: spot ETFs do create some systematic rebalancing flows (ETF arbitrage, creation/redemption mechanism), which may be beginning to generate equity-like institutional feedback. However, the BTC ecosystem remains too thin in systematic macro-factor relationships to reach equity CORE levels. Continued monitoring of rolling SCI may capture the moment of transition if and when it occurs.</w:t>
      </w:r>
    </w:p>
    <w:p>
      <w:pPr>
        <w:spacing w:before="200" w:after="120"/>
      </w:pPr>
      <w:r>
        <w:rPr>
          <w:rFonts w:ascii="Times New Roman" w:hAnsi="Times New Roman"/>
          <w:b/>
          <w:i w:val="0"/>
          <w:sz w:val="26"/>
        </w:rPr>
        <w:t>4.4 Implications for the Broader Claim</w:t>
      </w:r>
    </w:p>
    <w:p>
      <w:pPr>
        <w:spacing w:before="120" w:after="120" w:line="360" w:lineRule="exact"/>
        <w:jc w:val="both"/>
      </w:pPr>
      <w:r>
        <w:rPr>
          <w:rFonts w:ascii="Times New Roman" w:hAnsi="Times New Roman"/>
          <w:b w:val="0"/>
          <w:i w:val="0"/>
          <w:sz w:val="24"/>
        </w:rPr>
        <w:t>The original broader implication — that rolling SCI can detect when a new asset class has developed systematic-strategy-exploitable regime structure — survives the falsification, but requires revision. The metric does not specifically detect institutional feedback; it detects any structural coherence, whether from institutional feedback or retail bubble synchrony. Both are exploitable regimes: retail synchrony is exploitable via momentum, institutional feedback via mean-reversion and factor strategies.</w:t>
      </w:r>
    </w:p>
    <w:p>
      <w:pPr>
        <w:spacing w:before="120" w:after="120" w:line="360" w:lineRule="exact"/>
        <w:jc w:val="both"/>
      </w:pPr>
      <w:r>
        <w:rPr>
          <w:rFonts w:ascii="Times New Roman" w:hAnsi="Times New Roman"/>
          <w:b w:val="0"/>
          <w:i w:val="0"/>
          <w:sz w:val="24"/>
        </w:rPr>
        <w:t>The revised claim: rolling SCI detects structural coherence in any asset regardless of its source. A rising SCI on a new instrument signals that some regime is forming — either speculative synchrony or systematic feedback. A falling SCI after a period of high values may signal regime collapse (bubble break) or regime maturation (arbitrage flattening momentum). Distinguishing between the two requires auxiliary information (derivatives depth, GBTC-style proxies, open interest), but the SCI transition itself is the early warning signal.</w:t>
      </w:r>
    </w:p>
    <w:p>
      <w:pPr>
        <w:spacing w:before="280" w:after="120"/>
      </w:pPr>
      <w:r>
        <w:rPr>
          <w:rFonts w:ascii="Times New Roman" w:hAnsi="Times New Roman"/>
          <w:b/>
          <w:i w:val="0"/>
          <w:sz w:val="28"/>
        </w:rPr>
        <w:t>5. Conclusion</w:t>
      </w:r>
    </w:p>
    <w:p>
      <w:pPr>
        <w:spacing w:before="120" w:after="120" w:line="360" w:lineRule="exact"/>
        <w:jc w:val="both"/>
      </w:pPr>
      <w:r>
        <w:rPr>
          <w:rFonts w:ascii="Times New Roman" w:hAnsi="Times New Roman"/>
          <w:b w:val="0"/>
          <w:i w:val="0"/>
          <w:sz w:val="24"/>
        </w:rPr>
        <w:t>The Regime Transition Test directly falsified the institutional-coherence hypothesis for Bitcoin. Retail/crisis periods produced higher 90-day rolling SCI (0.676) than institutional periods (0.608), with the single highest-SCI epoch in the 2017–2026 record being the pre-futures retail era of 2017 (SCI=0.801, 76% CORE-classified). The effect is statistically robust (t=−9.07, p&lt;10⁻¹⁸, d=−0.33).</w:t>
      </w:r>
    </w:p>
    <w:p>
      <w:pPr>
        <w:spacing w:before="120" w:after="120" w:line="360" w:lineRule="exact"/>
        <w:jc w:val="both"/>
      </w:pPr>
      <w:r>
        <w:rPr>
          <w:rFonts w:ascii="Times New Roman" w:hAnsi="Times New Roman"/>
          <w:b w:val="0"/>
          <w:i w:val="0"/>
          <w:sz w:val="24"/>
        </w:rPr>
        <w:t>The result reveals a second pathway to structural coherence — retail speculative synchrony — distinct from the institutional feedback mechanism that generates CORE classification in equities. Bitcoin's high SCI in 2017 reflects pure momentum herding. The arrival of derivatives infrastructure (CME 2017, ProShares 2021) introduced arbitrage flows that flattened the herding dynamics and reduced coherence, exactly the inverse of the equity case where institutional infrastructure creates coherence.</w:t>
      </w:r>
    </w:p>
    <w:p>
      <w:pPr>
        <w:spacing w:before="120" w:after="120" w:line="360" w:lineRule="exact"/>
        <w:jc w:val="both"/>
      </w:pPr>
      <w:r>
        <w:rPr>
          <w:rFonts w:ascii="Times New Roman" w:hAnsi="Times New Roman"/>
          <w:b w:val="0"/>
          <w:i w:val="0"/>
          <w:sz w:val="24"/>
        </w:rPr>
        <w:t>SCI remains a valid detector of structural regime, but the regime it detects is not specifically institutional maturity. It is structural coherence in the broadest sense: any dynamical state where the Hilbert envelope is more correlated across time than a phase-randomized baseline. Identifying which mechanism underlies a given SCI reading requires auxiliary market context. The SCI value alone is the signal; the mechanism is the interpretation.</w:t>
      </w:r>
    </w:p>
    <w:p>
      <w:r>
        <w:br w:type="page"/>
      </w:r>
    </w:p>
    <w:p>
      <w:pPr>
        <w:spacing w:before="280" w:after="120"/>
      </w:pPr>
      <w:r>
        <w:rPr>
          <w:rFonts w:ascii="Times New Roman" w:hAnsi="Times New Roman"/>
          <w:b/>
          <w:i w:val="0"/>
          <w:sz w:val="28"/>
        </w:rPr>
        <w:t>Appendix: Reproduction</w:t>
      </w:r>
    </w:p>
    <w:p>
      <w:pPr>
        <w:spacing w:before="120" w:after="120" w:line="360" w:lineRule="exact"/>
        <w:jc w:val="both"/>
      </w:pPr>
      <w:r>
        <w:rPr>
          <w:rFonts w:ascii="Times New Roman" w:hAnsi="Times New Roman"/>
          <w:b w:val="0"/>
          <w:i w:val="0"/>
          <w:sz w:val="24"/>
        </w:rPr>
        <w:t>All code and data downloads are reproducible from the public record.</w:t>
      </w:r>
    </w:p>
    <w:p>
      <w:pPr>
        <w:spacing w:before="80" w:after="80"/>
        <w:ind w:left="576"/>
        <w:shd w:val="clear" w:color="auto" w:fill="F2F2F2"/>
      </w:pPr>
      <w:r>
        <w:rPr>
          <w:rFonts w:ascii="Courier New" w:hAnsi="Courier New"/>
          <w:b w:val="0"/>
          <w:i w:val="0"/>
          <w:sz w:val="18"/>
        </w:rPr>
        <w:t># Reproduce from project root</w:t>
        <w:br/>
        <w:t>cd '/Users/parkerlee/Desktop/If Im Right/SCI_Project'</w:t>
        <w:br/>
        <w:br/>
        <w:t># Run analysis</w:t>
        <w:br/>
        <w:t>python3 scripts/finance/sci_btc_regime_v1.py</w:t>
        <w:br/>
        <w:br/>
        <w:t># Outputs:</w:t>
        <w:br/>
        <w:t># results/btc_regime_v1/rolling_sci.csv          (3,356 rows)</w:t>
        <w:br/>
        <w:t># results/btc_regime_v1/period_breakdown.csv     (10 rows)</w:t>
        <w:br/>
        <w:t># results/btc_regime_v1/statistical_tests.txt</w:t>
        <w:br/>
        <w:t># results/btc_regime_v1/plots/btc_rolling_sci.png</w:t>
        <w:br/>
        <w:t># results/btc_regime_v1/plots/btc_sci_regime_boxplot.png</w:t>
        <w:br/>
        <w:t># results/btc_regime_v1/plots/sci_vs_gbtc.png</w:t>
      </w:r>
    </w:p>
    <w:p>
      <w:pPr>
        <w:spacing w:before="160" w:after="120" w:line="360" w:lineRule="exact"/>
        <w:jc w:val="both"/>
      </w:pPr>
      <w:r>
        <w:rPr>
          <w:rFonts w:ascii="Times New Roman" w:hAnsi="Times New Roman"/>
          <w:b w:val="0"/>
          <w:i w:val="0"/>
          <w:sz w:val="24"/>
        </w:rPr>
        <w:t>Data sources: Yahoo Finance (yfinance) — BTC-USD, GBTC. No API key required.</w:t>
      </w:r>
    </w:p>
    <w:p>
      <w:pPr>
        <w:spacing w:before="120" w:after="120" w:line="360" w:lineRule="exact"/>
        <w:jc w:val="both"/>
      </w:pPr>
      <w:r>
        <w:rPr>
          <w:rFonts w:ascii="Times New Roman" w:hAnsi="Times New Roman"/>
          <w:b w:val="0"/>
          <w:i w:val="0"/>
          <w:sz w:val="24"/>
        </w:rPr>
        <w:t>SCI parameters (finance standard, locked): W=7, L=10, S=40, k=0.9, seed=42.</w:t>
        <w:br/>
        <w:t>Rolling window: 63 trading days (~90 calendar days).</w:t>
        <w:br/>
        <w:t>SCI engine: sci_score_v3.py (project root).</w:t>
        <w:br/>
        <w:t>Regime periods: defined a priori from public-record event dates, not from SCI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