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Does Market Coherence Oscillate? Extended Universe SCI (2010–2026)</w:t>
        <w:br/>
        <w:t>Testing the ~9-Month Cycle Across Macro Regimes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i/>
          <w:sz w:val="22"/>
        </w:rPr>
        <w:t>Parker J. Lee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i/>
          <w:sz w:val="22"/>
        </w:rPr>
        <w:t>Independent Researcher · Nashville, TN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i/>
          <w:sz w:val="22"/>
        </w:rPr>
        <w:t>US Provisional Patent Application 63/904,444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2026-05-15</w:t>
      </w:r>
    </w:p>
    <w:p/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Abstract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SCI-of-SCI experiment (56-month window, Sep 2021 – Apr 2026) found a statistically significant quasi-periodic oscillation in the universe-wide CORE fraction at lag 9 months (r=+0.582, p&lt;0.00002). This experiment tests whether that cycle generalizes across the full available history. We extended the rolling SCI universe to 193 monthly dates (Apr 2010 – Apr 2026) across 1,339 instruments and recomputed the autocorrelation function of the CORE fraction at lags 1–24. The ~9-month cycle is not confirmed in the extended dataset: full-series lag-9 ACF = +0.071, p=0.34. The regime-level breakdown reveals the cycle was entirely isolated to the 2023–2026 Current regime (lag-9 r=+0.623, p&lt;0.001, n=40). All five prior macro regimes show near-zero or negative lag-9 autocorrelation. The 56-month finding was a period-specific artifact, not a stable market cycle. The dominant signal in the extended dataset is strong short-term persistence: lag-1 ACF = +0.672 (p&lt;10⁻⁵), indicating that the market's coherence level trends rather than oscillates — once the universe enters a structural or noise regime, it remains there for multiple months before transitioning. The CORE fraction ranged from 0.14 to 0.99 across the full 16-year history, a far wider excursion than seen in any single sub-window.</w:t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1. Background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SCI-of-SCI experiment computed the autocorrelation function of the monthly universe-wide CORE fraction across 56 monthly dates (September 2021 to April 2026). The CORE fraction is the proportion of the 1,339-instrument universe classified CORE by the locked SCI pipeline (W=7, L=10, S=40, k=0.9, seed=42) at each monthly rebalance date. It serves as a single-number proxy for the market's structural coherence level at each point in time.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56-month ACF showed a striking quasi-periodic pattern: lag-1 r=+0.337, a negative trough at lags 4–5 (r≈−0.35), and a strong positive peak at lag 9 (r=+0.582, t=4.80, p&lt;0.00002, n=47 pairs). This pattern is consistent with a damped oscillator with a natural period of approximately 8–10 months.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prediction to test: if the ~9-month period is a genuine, regime-independent market cycle, it should appear with r ≥ +0.30 and p &lt; 0.01 in the full 2010–2026 dataset and should be present in at least 4 of the 6 pre-defined macro regimes.</w:t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2. Methods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2.1 Data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Daily closing prices for all 1,339 instruments were downloaded from Yahoo Finance (yfinance) from 2010-01-01 to 2026-05-15. Prices were cached locally for reproducibility. Monthly rebalance dates were the last business day of each month from April 2010 through April 2026 (193 dates). At each date, a rolling 90-trading-day window of returns was used for SCI computation. Tickers without at least 63 trading days of history at a given date were excluded from that date's universe.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Survivorship bias note: the 1,339 instruments are those present in the 2026 universe. Pre-2015 computation includes only companies that survived through 2026, biasing early-period CORE fractions toward established, persistent firms. This is noted but does not affect the primary goal of testing whether the 9-month cycle replicates.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2.2 SCI Parameters and Computation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Locked parameters: W=7, L=10, S=40, k=0.9, seed=42 — identical to the Triadic Law experiment. Computation was parallelized over tickers using fork-context multiprocessing (8 workers). Each worker computed SCI at all 193 monthly dates for one ticker, avoiding the need to pickle the full returns dictionary.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# ~262,000 SCI computations total (193 dates × 1,339 tickers)</w:t>
        <w:br/>
        <w:t># Parallelized: each worker handles one ticker across all dates</w:t>
        <w:br/>
        <w:t>r = sci_score_v3(returns_window, w=7, L=10, S=40, k=0.9, seed=42)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2.3 Regime Definitions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Six macro regimes were defined a priori based on known economic event dates: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Regime</w:t>
            </w:r>
          </w:p>
        </w:tc>
        <w:tc>
          <w:tcPr>
            <w:tcW w:type="dxa" w:w="312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Dates</w:t>
            </w:r>
          </w:p>
        </w:tc>
        <w:tc>
          <w:tcPr>
            <w:tcW w:type="dxa" w:w="312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 months</w:t>
            </w:r>
          </w:p>
        </w:tc>
      </w:tr>
      <w:tr>
        <w:tc>
          <w:tcPr>
            <w:tcW w:type="dxa" w:w="3120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QE / Low-Vol Era</w:t>
            </w:r>
          </w:p>
        </w:tc>
        <w:tc>
          <w:tcPr>
            <w:tcW w:type="dxa" w:w="312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2010-01-01 – 2014-12-31</w:t>
            </w:r>
          </w:p>
        </w:tc>
        <w:tc>
          <w:tcPr>
            <w:tcW w:type="dxa" w:w="312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57</w:t>
            </w:r>
          </w:p>
        </w:tc>
      </w:tr>
      <w:tr>
        <w:tc>
          <w:tcPr>
            <w:tcW w:type="dxa" w:w="3120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Normalization</w:t>
            </w:r>
          </w:p>
        </w:tc>
        <w:tc>
          <w:tcPr>
            <w:tcW w:type="dxa" w:w="3120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2015-01-01 – 2017-12-31</w:t>
            </w:r>
          </w:p>
        </w:tc>
        <w:tc>
          <w:tcPr>
            <w:tcW w:type="dxa" w:w="3120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36</w:t>
            </w:r>
          </w:p>
        </w:tc>
      </w:tr>
      <w:tr>
        <w:tc>
          <w:tcPr>
            <w:tcW w:type="dxa" w:w="3120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Rate Tightening</w:t>
            </w:r>
          </w:p>
        </w:tc>
        <w:tc>
          <w:tcPr>
            <w:tcW w:type="dxa" w:w="312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2018-01-01 – 2019-12-31</w:t>
            </w:r>
          </w:p>
        </w:tc>
        <w:tc>
          <w:tcPr>
            <w:tcW w:type="dxa" w:w="312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</w:tr>
      <w:tr>
        <w:tc>
          <w:tcPr>
            <w:tcW w:type="dxa" w:w="3120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COVID Shock</w:t>
            </w:r>
          </w:p>
        </w:tc>
        <w:tc>
          <w:tcPr>
            <w:tcW w:type="dxa" w:w="3120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2020-01-01 – 2020-12-31</w:t>
            </w:r>
          </w:p>
        </w:tc>
        <w:tc>
          <w:tcPr>
            <w:tcW w:type="dxa" w:w="3120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3120"/>
            <w:shd w:val="clear" w:color="auto" w:fill="F8F8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Post-COVID / Inflation</w:t>
            </w:r>
          </w:p>
        </w:tc>
        <w:tc>
          <w:tcPr>
            <w:tcW w:type="dxa" w:w="312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2021-01-01 – 2022-12-31</w:t>
            </w:r>
          </w:p>
        </w:tc>
        <w:tc>
          <w:tcPr>
            <w:tcW w:type="dxa" w:w="312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</w:tr>
      <w:tr>
        <w:tc>
          <w:tcPr>
            <w:tcW w:type="dxa" w:w="3120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Current</w:t>
            </w:r>
          </w:p>
        </w:tc>
        <w:tc>
          <w:tcPr>
            <w:tcW w:type="dxa" w:w="3120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2023-01-01 – 2026-04-30</w:t>
            </w:r>
          </w:p>
        </w:tc>
        <w:tc>
          <w:tcPr>
            <w:tcW w:type="dxa" w:w="3120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40</w:t>
            </w:r>
          </w:p>
        </w:tc>
      </w:tr>
    </w:tbl>
    <w:p>
      <w:pPr>
        <w:spacing w:before="80" w:after="20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1. A priori macro regime definitions.</w:t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3. Results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3.1 Universe Coverage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193 of 196 monthly dates yielded valid data (≥50 instruments). Mean instruments per date: 1,196 (lower in early periods as fewer instruments had 90 days of history). CORE fraction statistics across the full 193-month series: min=0.139, max=0.987, mean=0.328, SD=0.165. The CORE fraction range is far wider than in the 56-month sub-window (0.145–0.451), reflecting the large variation in market coherence across the full post-2010 cycle.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3.2 Full-Series ACF: The 9-Month Cycle Is Not Present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full-series ACF (N=193 months) does not show the quasi-periodic 9-month pattern found in the 56-month window. The dominant signal is strong short-term persistence at lags 1–2, decaying to near-zero by lag 9: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Lag (months)</w:t>
            </w:r>
          </w:p>
        </w:tc>
        <w:tc>
          <w:tcPr>
            <w:tcW w:type="dxa" w:w="234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ACF (r)</w:t>
            </w:r>
          </w:p>
        </w:tc>
        <w:tc>
          <w:tcPr>
            <w:tcW w:type="dxa" w:w="234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2340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Significant?</w:t>
            </w:r>
          </w:p>
        </w:tc>
      </w:tr>
      <w:tr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+0.6723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&lt;0.00001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Yes ***</w:t>
            </w:r>
          </w:p>
        </w:tc>
      </w:tr>
      <w:tr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+0.2974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0.00003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Yes ***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+0.1106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+0.1218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0.095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+0.1880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0.010</w:t>
            </w:r>
          </w:p>
        </w:tc>
        <w:tc>
          <w:tcPr>
            <w:tcW w:type="dxa" w:w="2340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Yes *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+0.1415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0.053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+0.0926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0.209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+0.0807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0.275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2340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+0.0711</w:t>
            </w:r>
          </w:p>
        </w:tc>
        <w:tc>
          <w:tcPr>
            <w:tcW w:type="dxa" w:w="2340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0.337</w:t>
            </w:r>
          </w:p>
        </w:tc>
        <w:tc>
          <w:tcPr>
            <w:tcW w:type="dxa" w:w="2340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+0.0442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0.552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−0.0392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0.600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+0.0199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0.794</w:t>
            </w:r>
          </w:p>
        </w:tc>
        <w:tc>
          <w:tcPr>
            <w:tcW w:type="dxa" w:w="2340"/>
            <w:shd w:val="clear" w:color="auto" w:fill="F8F8F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before="80" w:after="20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2. Full-series ACF of CORE fraction (N=193 months). Red = lag-9 target (not significant). Green = significant lags.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3.3 Regime-Level Lag-9 ACF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regime-level breakdown identifies precisely where the lag-9 signal originates. It is entirely confined to the 2023–2026 Current regime: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Regime</w:t>
            </w:r>
          </w:p>
        </w:tc>
        <w:tc>
          <w:tcPr>
            <w:tcW w:type="dxa" w:w="1872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Lag-9 r</w:t>
            </w:r>
          </w:p>
        </w:tc>
        <w:tc>
          <w:tcPr>
            <w:tcW w:type="dxa" w:w="1872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72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Significant?</w:t>
            </w:r>
          </w:p>
        </w:tc>
      </w:tr>
      <w:tr>
        <w:tc>
          <w:tcPr>
            <w:tcW w:type="dxa" w:w="1872"/>
            <w:shd w:val="clear" w:color="auto" w:fill="FDECE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QE / Low-Vol (2010–2014)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−0.182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0.215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DECE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Normalization (2015–2017)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−0.141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0.483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3CD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Rate Tightening (2018–2019)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+0.284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0.305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3CD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COVID (2020)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+0.733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0.476</w:t>
            </w:r>
          </w:p>
        </w:tc>
        <w:tc>
          <w:tcPr>
            <w:tcW w:type="dxa" w:w="1872"/>
            <w:shd w:val="clear" w:color="auto" w:fill="FFF3CD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No*</w:t>
            </w:r>
          </w:p>
        </w:tc>
      </w:tr>
      <w:tr>
        <w:tc>
          <w:tcPr>
            <w:tcW w:type="dxa" w:w="1872"/>
            <w:shd w:val="clear" w:color="auto" w:fill="FDECE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Post-COVID / Infl. (2021–2022)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−0.116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0.682</w:t>
            </w:r>
          </w:p>
        </w:tc>
        <w:tc>
          <w:tcPr>
            <w:tcW w:type="dxa" w:w="1872"/>
            <w:shd w:val="clear" w:color="auto" w:fill="FDEC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EAF4E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Current (2023–2026)</w:t>
            </w:r>
          </w:p>
        </w:tc>
        <w:tc>
          <w:tcPr>
            <w:tcW w:type="dxa" w:w="1872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40</w:t>
            </w:r>
          </w:p>
        </w:tc>
        <w:tc>
          <w:tcPr>
            <w:tcW w:type="dxa" w:w="1872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+0.623</w:t>
            </w:r>
          </w:p>
        </w:tc>
        <w:tc>
          <w:tcPr>
            <w:tcW w:type="dxa" w:w="1872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0.000</w:t>
            </w:r>
          </w:p>
        </w:tc>
        <w:tc>
          <w:tcPr>
            <w:tcW w:type="dxa" w:w="1872"/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Yes ***</w:t>
            </w:r>
          </w:p>
        </w:tc>
      </w:tr>
    </w:tbl>
    <w:p>
      <w:pPr>
        <w:spacing w:before="80" w:after="20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3. Lag-9 ACF of CORE fraction by macro regime. * COVID n=12 is too small for reliable lag-9 estimates. Green = significant. Red = negative or null. Yellow = positive but not significant.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prediction required lag-9 r ≥ +0.30 with p &lt; 0.01 in the full series AND in at least 4 of 6 regimes. Neither criterion is met. Only the Current regime satisfies both conditions. All five prior regimes are null or negative.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3.4 Why the 56-Month Window Showed r=+0.582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56-month window (September 2021 – April 2026) spans exactly the Post-COVID/ Inflation regime (24 months, lag-9 r=−0.116) and the Current regime (40 months, lag-9 r=+0.623). The Current regime dominates the combined window because it is longer, and its strong lag-9 signal pulls the combined ACF upward. When pooled with the negative Post-COVID period, the net result was r=+0.582 — an artifact of mixing two regimes with opposite lag-9 signs.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is a textbook case of a windowing artifact: the ACF at a specific lag can appear strongly positive in a short window that happens to be dominated by one regime, then collapse to near-zero when the window is extended to include regime-diverse history.</w:t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4. What the Extended Data Does Show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4.1 Strong Short-Term Persistence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dominant signal across all 193 months is not oscillatory but persistent. Lag-1 ACF = +0.672 (p&lt;10⁻⁵) means that last month's coherence level is the single best predictor of this month's coherence level. Lag-2 ACF = +0.297 (p&lt;0.0001) is also significant. By lag 5 the signal has faded to r=+0.188, and by lag 9 it is indistinguishable from zero.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is the structure of a mean-reverting trend process, not a fixed-period oscillator. The market's coherence level has inertia: once it shifts toward structural or noise regime, it stays there for 1–3 months on average, then gradually reverts. The half-life of a coherence regime is approximately 2–3 months, consistent with the lag-1 autocorrelation of 0.67.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4.2 The Full Range of Market Coherence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Extending to 2010 reveals the true amplitude of the coherence cycle. The CORE fraction reached 0.987 near the peak of the post-crisis recovery (2012–2013), meaning nearly the entire 1,339-instrument universe was classifying as structurally coherent. At troughs it fell to 0.139. This ±4× amplitude variation dwarfs anything visible in the 56-month sub-window (range 0.145–0.451). The universe undergoes genuine large-scale coherence transitions on multi-year timescales that shorter windows cannot capture.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Survivorship bias inflates the early-period CORE fraction: the 1,339 instruments present in 2026 are those that survived and grew, disproportionately the strongest performers from 2010. These firms likely had above-average structural coherence throughout the period. The true 2010-era universe-wide CORE fraction is probably lower than what this analysis shows.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</w:rPr>
        <w:t>4.3 The Current Regime Anomaly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2023–2026 Current regime does show a genuine, significant lag-9 ACF (r=+0.623, p&lt;0.001). This is not noise — it is a real pattern specific to this period. A possible explanation: the post-2023 period saw a specific combination of structural factors (AI-driven sector rotation, Federal Reserve pause cycles, index concentration in mega-cap tech) that created a ~9-month rhythmic pattern in cross-sectional coherence. Whether this pattern continues or dissolves as the regime changes is an open empirical question that can be monitored in real time with rolling SCI.</w:t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5. Conclusion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~9-month quasi-periodic oscillation in the universe-wide CORE fraction, found in the 56-month (2021–2026) window, does not replicate in the extended 2010–2026 dataset. Full-series lag-9 ACF = +0.071, p=0.34 (N=193 months). The cycle is absent in five of six pre-defined macro regimes and is significant only in the 2023–2026 Current regime (r=+0.623, p&lt;0.001). The 56-month finding was a windowing artifact driven by that regime's dominance of the shorter window.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extended dataset reveals a different and more robust structure: strong short-term persistence (lag-1 r=+0.672). The market's coherence level trends rather than oscillates at a fixed period. It has inertia — regimes persist for months — but no fixed-period cycle structure visible across the full 16-year history.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full-history CORE fraction range (0.14–0.99) demonstrates that the universe undergoes genuine large-amplitude coherence transitions over multi-year timescales. These transitions are the macroscopic signature of what SCI detects at the instrument level: the market periodically enters and exits structural coherence at a scale visible across the entire cross-section, but the timing of those transitions is not governed by a fixed oscillatory clock.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sz w:val="28"/>
        </w:rPr>
        <w:t>Appendix: Reproduction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cd '/Users/parkerlee/Desktop/If Im Right/SCI_Project'</w:t>
        <w:br/>
        <w:t>python3 scripts/finance/sci_universe_extended_v1.py</w:t>
        <w:br/>
        <w:t># Downloads 1,339 tickers from 2010-01-01 via yfinance (cached after first run)</w:t>
        <w:br/>
        <w:t># Outputs: results/sci_universe_extended_v1/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Output files: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bucket_fractions_extended.csv   # 193-month CORE/TACTICAL/INELIGIBLE fractions</w:t>
        <w:br/>
        <w:t>regime_lag9_acf.csv             # lag-9 ACF per macro regime</w:t>
        <w:br/>
        <w:t>summary.txt                     # full ACF table and summary</w:t>
        <w:br/>
        <w:t>plots/core_fraction_acf_extended.png</w:t>
      </w:r>
    </w:p>
    <w:p>
      <w:pPr>
        <w:spacing w:before="12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SCI parameters: W=7, L=10, S=40, k=0.9, seed=42. Parallelization: fork-context multiprocessing, 8 workers, over tickers. Survivorship bias: 1,339 instruments are those present in the 2026 universe.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