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유사호출부호 오류발생가능성평가 매뉴얼</w:t>
      </w:r>
    </w:p>
    <w:p>
      <w:pPr>
        <w:spacing w:after="200"/>
      </w:pPr>
    </w:p>
    <w:p>
      <w:pPr>
        <w:pStyle w:val="Heading2"/>
      </w:pPr>
      <w:r>
        <w:t xml:space="preserve">1. 목적</w:t>
      </w:r>
    </w:p>
    <w:p>
      <w:pPr>
        <w:spacing w:after="200"/>
      </w:pPr>
      <w:r>
        <w:t xml:space="preserve">본 매뉴얼은 유사호출부호로 인한 관제오류 발생 가능성을 종합적으로 평가하기 위하여, 유사도, 관제량, 공존시간 등 복합적 요인을 고려한 정량적 평가기준을 제시함을 목적으로 한다.</w:t>
      </w:r>
    </w:p>
    <w:p>
      <w:pPr>
        <w:pStyle w:val="Heading2"/>
      </w:pPr>
      <w:r>
        <w:t xml:space="preserve">2. 적용범위</w:t>
      </w:r>
    </w:p>
    <w:p>
      <w:pPr>
        <w:spacing w:after="200"/>
      </w:pPr>
      <w:r>
        <w:t xml:space="preserve">본 매뉴얼은 동일 관제섹터 내에서 공존하는 항공편의 호출부호 유사성, 관제업무량, 공존시간을 종합하여 오류발생 위험도를 평가하는 데 적용된다.</w:t>
      </w:r>
    </w:p>
    <w:p>
      <w:pPr>
        <w:pStyle w:val="Heading2"/>
      </w:pPr>
      <w:r>
        <w:t xml:space="preserve">3. 평가요소 및 가중치</w:t>
      </w:r>
    </w:p>
    <w:p>
      <w:pPr>
        <w:pStyle w:val="Heading3"/>
      </w:pPr>
      <w:r>
        <w:t xml:space="preserve">3.1 평가요소</w:t>
      </w:r>
    </w:p>
    <w:p>
      <w:pPr>
        <w:spacing w:after="150"/>
      </w:pPr>
      <w:r>
        <w:t xml:space="preserve">오류발생가능성 평가는 다음의 세 가지 요소로 구성된다.</w:t>
      </w:r>
    </w:p>
    <w:p>
      <w:pPr>
        <w:spacing w:after="100" w:before="100" left="720"/>
      </w:pPr>
      <w:r>
        <w:t xml:space="preserve">가. 유사도점수: 호출부호 편명번호의 유사성 정도</w:t>
      </w:r>
    </w:p>
    <w:p>
      <w:pPr>
        <w:spacing w:after="100" left="720"/>
      </w:pPr>
      <w:r>
        <w:t xml:space="preserve">나. 관제량점수: 동시 관제 중인 항공기 수량</w:t>
      </w:r>
    </w:p>
    <w:p>
      <w:pPr>
        <w:spacing w:after="200" left="720"/>
      </w:pPr>
      <w:r>
        <w:t xml:space="preserve">다. 공존시간점수: 유사호출부호 항공편이 동일 섹터에서 공존한 시간</w:t>
      </w:r>
    </w:p>
    <w:p>
      <w:pPr>
        <w:pStyle w:val="Heading3"/>
      </w:pPr>
      <w:r>
        <w:t xml:space="preserve">3.2 가중치 배분</w:t>
      </w:r>
    </w:p>
    <w:p>
      <w:pPr>
        <w:spacing w:after="150"/>
      </w:pPr>
      <w:r>
        <w:t xml:space="preserve">각 평가요소의 중요도를 고려하여 다음과 같이 가중치를 배분한다.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평가요소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가중치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근거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유사도점수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50%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호출부호 유사성이 혼동의 직접적 원인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관제량점수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30%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관제량 증가 시 업무부하로 혼동 위험 증가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공존시간점수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공존시간 증가 시 혼동 기회 증가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점수 산출 기준</w:t>
      </w:r>
    </w:p>
    <w:p>
      <w:pPr>
        <w:pStyle w:val="Heading3"/>
      </w:pPr>
      <w:r>
        <w:t xml:space="preserve">4.1 유사도점수 (15/35/60/85점)</w:t>
      </w:r>
    </w:p>
    <w:p>
      <w:pPr>
        <w:spacing w:after="200"/>
      </w:pPr>
      <w:r>
        <w:t xml:space="preserve">유사도점수는 별도의 「유사호출부호 유사도평가 매뉴얼」에 따라 산출된 점수를 적용한다. 유사도는 매우높음(85점), 높음(60점), 낮음(35점), 매우낮음(15점)의 4개 등급으로 분류된다.</w:t>
      </w:r>
    </w:p>
    <w:p>
      <w:pPr>
        <w:pStyle w:val="Heading3"/>
      </w:pPr>
      <w:r>
        <w:t xml:space="preserve">4.2 관제량점수 (0~100점)</w:t>
      </w:r>
    </w:p>
    <w:p>
      <w:pPr>
        <w:spacing w:after="100"/>
      </w:pPr>
      <w:r>
        <w:t xml:space="preserve">관제량점수는 동시 관제 중인 항공기 수를 기준으로 다음의 산식에 따라 산출한다.</w:t>
      </w:r>
    </w:p>
    <w:p>
      <w:pPr>
        <w:spacing w:after="100" w:before="100" left="720"/>
        <w:jc w:val="center"/>
      </w:pPr>
      <w:r>
        <w:rPr>
          <w:b/>
          <w:bCs/>
        </w:rPr>
        <w:t xml:space="preserve">관제량점수 = (관제량 - 최소관제량) ÷ (최대관제량 - 최소관제량) × 100</w:t>
      </w:r>
    </w:p>
    <w:p>
      <w:pPr>
        <w:spacing w:after="100" left="720"/>
      </w:pPr>
      <w:r>
        <w:t xml:space="preserve">- 최소관제량: 1대 (최소 공존 항공기 수)</w:t>
      </w:r>
    </w:p>
    <w:p>
      <w:pPr>
        <w:spacing w:after="100" left="720"/>
      </w:pPr>
      <w:r>
        <w:t xml:space="preserve">- 최대관제량: 25대 (분석 데이터 기준 최대값)</w:t>
      </w:r>
    </w:p>
    <w:p>
      <w:pPr>
        <w:spacing w:after="100" left="720"/>
      </w:pPr>
      <w:r>
        <w:t xml:space="preserve">- 관제량이 많을수록 관제사의 업무부하가 증가하여 호출부호 혼동 위험이 높아지므로, 관제량이 증가할수록 점수가 상승하도록 산출한다.</w:t>
      </w:r>
    </w:p>
    <w:p>
      <w:pPr>
        <w:spacing w:after="200" left="720"/>
      </w:pPr>
      <w:r>
        <w:t xml:space="preserve">- 관제량 1대일 경우 0점, 25대일 경우 100점이 부여된다.</w:t>
      </w:r>
    </w:p>
    <w:p>
      <w:pPr>
        <w:pStyle w:val="Heading3"/>
      </w:pPr>
      <w:r>
        <w:t xml:space="preserve">4.3 공존시간점수 (0~100점)</w:t>
      </w:r>
    </w:p>
    <w:p>
      <w:pPr>
        <w:spacing w:after="100"/>
      </w:pPr>
      <w:r>
        <w:t xml:space="preserve">공존시간점수는 유사호출부호 항공편이 동일 섹터 내에서 공존한 시간(분)을 기준으로 다음의 산식에 따라 산출한다.</w:t>
      </w:r>
    </w:p>
    <w:p>
      <w:pPr>
        <w:spacing w:after="100" w:before="100" left="720"/>
        <w:jc w:val="center"/>
      </w:pPr>
      <w:r>
        <w:rPr>
          <w:b/>
          <w:bCs/>
        </w:rPr>
        <w:t xml:space="preserve">공존시간점수 = (공존시간 - 최소공존시간) ÷ (최대공존시간 - 최소공존시간) × 100</w:t>
      </w:r>
    </w:p>
    <w:p>
      <w:pPr>
        <w:spacing w:after="100" left="720"/>
      </w:pPr>
      <w:r>
        <w:t xml:space="preserve">- 최소공존시간: 3분 (분석 데이터 기준 최소값)</w:t>
      </w:r>
    </w:p>
    <w:p>
      <w:pPr>
        <w:spacing w:after="100" left="720"/>
      </w:pPr>
      <w:r>
        <w:t xml:space="preserve">- 최대공존시간: 29분 (분석 데이터 기준 최대값)</w:t>
      </w:r>
    </w:p>
    <w:p>
      <w:pPr>
        <w:spacing w:after="100" left="720"/>
      </w:pPr>
      <w:r>
        <w:t xml:space="preserve">- 공존시간이 길수록 호출부호 혼동 기회가 증가하므로, 공존시간이 증가할수록 점수가 상승하도록 산출한다.</w:t>
      </w:r>
    </w:p>
    <w:p>
      <w:pPr>
        <w:spacing w:after="200" left="720"/>
      </w:pPr>
      <w:r>
        <w:t xml:space="preserve">- 공존시간 3분일 경우 0점, 29분일 경우 100점이 부여된다.</w:t>
      </w:r>
    </w:p>
    <w:p>
      <w:pPr>
        <w:pStyle w:val="Heading2"/>
      </w:pPr>
      <w:r>
        <w:t xml:space="preserve">5. 오류발생가능성점수 산출</w:t>
      </w:r>
    </w:p>
    <w:p>
      <w:pPr>
        <w:pStyle w:val="Heading3"/>
      </w:pPr>
      <w:r>
        <w:t xml:space="preserve">5.1 산출방법</w:t>
      </w:r>
    </w:p>
    <w:p>
      <w:pPr>
        <w:spacing w:after="150"/>
      </w:pPr>
      <w:r>
        <w:t xml:space="preserve">오류발생가능성점수는 제3.2항의 가중치를 적용하여 다음의 산식에 따라 산출한다.</w:t>
      </w:r>
    </w:p>
    <w:p>
      <w:pPr>
        <w:spacing w:after="200" w:before="100"/>
        <w:jc w:val="center"/>
      </w:pPr>
      <w:r>
        <w:rPr>
          <w:b/>
          <w:bCs/>
          <w:sz w:val="24"/>
          <w:szCs w:val="24"/>
        </w:rPr>
        <w:t xml:space="preserve">오류발생가능성점수 = (유사도점수 × 0.5) + (관제량점수 × 0.3) + (공존시간점수 × 0.2)</w:t>
      </w:r>
    </w:p>
    <w:p>
      <w:pPr>
        <w:pStyle w:val="Heading3"/>
      </w:pPr>
      <w:r>
        <w:t xml:space="preserve">5.2 산출사례</w:t>
      </w:r>
    </w:p>
    <w:p>
      <w:pPr>
        <w:spacing w:after="100"/>
      </w:pPr>
      <w:r>
        <w:t xml:space="preserve">다음은 오류발생가능성점수 산출의 구체적 사례이다.</w:t>
      </w:r>
    </w:p>
    <w:p>
      <w:pPr>
        <w:spacing w:after="100" left="720"/>
      </w:pPr>
      <w:r>
        <w:t xml:space="preserve">〈사례 1〉 AAR8916 | AAR8976
</w:t>
      </w:r>
      <w:r>
        <w:t xml:space="preserve">  - 유사도점수: 60점 (높음)
</w:t>
      </w:r>
      <w:r>
        <w:t xml:space="preserve">  - 관제량점수: 45.83점 (관제량 12대)
</w:t>
      </w:r>
      <w:r>
        <w:t xml:space="preserve">  - 공존시간점수: 61.54점 (공존시간 19분)
</w:t>
      </w:r>
      <w:r>
        <w:rPr>
          <w:b/>
          <w:bCs/>
        </w:rPr>
        <w:t xml:space="preserve">  - 오류발생가능성점수: 60점 × 0.5 + 45.83점 × 0.3 + 61.54점 × 0.2 = 56.06점</w:t>
      </w:r>
    </w:p>
    <w:p>
      <w:pPr>
        <w:spacing w:after="100" left="720"/>
      </w:pPr>
      <w:r>
        <w:t xml:space="preserve">〈사례 2〉 JJA1502 | JJA8502
</w:t>
      </w:r>
      <w:r>
        <w:t xml:space="preserve">  - 유사도점수: 85점 (매우높음)
</w:t>
      </w:r>
      <w:r>
        <w:t xml:space="preserve">  - 관제량점수: 50.00점 (관제량 13대)
</w:t>
      </w:r>
      <w:r>
        <w:t xml:space="preserve">  - 공존시간점수: 88.46점 (공존시간 26분)
</w:t>
      </w:r>
      <w:r>
        <w:rPr>
          <w:b/>
          <w:bCs/>
        </w:rPr>
        <w:t xml:space="preserve">  - 오류발생가능성점수: 85점 × 0.5 + 50.00점 × 0.3 + 88.46점 × 0.2 = 75.19점</w:t>
      </w:r>
    </w:p>
    <w:p>
      <w:pPr>
        <w:spacing w:after="200" left="720"/>
      </w:pPr>
      <w:r>
        <w:t xml:space="preserve">〈사례 3〉 VJC974 | VJC978
</w:t>
      </w:r>
      <w:r>
        <w:t xml:space="preserve">  - 유사도점수: 35점 (낮음)
</w:t>
      </w:r>
      <w:r>
        <w:t xml:space="preserve">  - 관제량점수: 16.67점 (관제량 5대)
</w:t>
      </w:r>
      <w:r>
        <w:t xml:space="preserve">  - 공존시간점수: 23.08점 (공존시간 9분)
</w:t>
      </w:r>
      <w:r>
        <w:rPr>
          <w:b/>
          <w:bCs/>
        </w:rPr>
        <w:t xml:space="preserve">  - 오류발생가능성점수: 35점 × 0.5 + 16.67점 × 0.3 + 23.08점 × 0.2 = 27.12점</w:t>
      </w:r>
    </w:p>
    <w:p>
      <w:pPr>
        <w:pStyle w:val="Heading2"/>
      </w:pPr>
      <w:r>
        <w:t xml:space="preserve">6. 오류발생가능성 등급 분류</w:t>
      </w:r>
    </w:p>
    <w:p>
      <w:pPr>
        <w:spacing w:after="150"/>
      </w:pPr>
      <w:r>
        <w:t xml:space="preserve">산출된 오류발생가능성점수에 따라 다음과 같이 4개 등급으로 분류한다.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등급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점수 범위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권고사항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조치 내용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매우높음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60점 이상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즉시 조치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즉시 항공사에 호출부호 변경 요청 및 관제주의 강화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45~60점 미만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주의 관찰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항공사에 호출부호 변경 검토 권고 및 관제주의 지속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A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낮음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30~45점 미만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일반 관찰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일반적 관제주의 유지 및 지속 모니터링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매우낮음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30점 미만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정상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정상적 관제업무 수행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 유의사항</w:t>
      </w:r>
    </w:p>
    <w:p>
      <w:pPr>
        <w:spacing w:after="100"/>
      </w:pPr>
      <w:r>
        <w:t xml:space="preserve">오류발생가능성 평가 시 다음 사항에 유의하여야 한다.</w:t>
      </w:r>
    </w:p>
    <w:p>
      <w:pPr>
        <w:spacing w:after="100" left="720"/>
      </w:pPr>
      <w:r>
        <w:t xml:space="preserve">가. 본 평가는 정량적 지표이므로, 관제사의 경험과 판단을 배제하는 것이 아니라 보조하는 수단으로 활용한다.</w:t>
      </w:r>
    </w:p>
    <w:p>
      <w:pPr>
        <w:spacing w:after="100" left="720"/>
      </w:pPr>
      <w:r>
        <w:t xml:space="preserve">나. 평가 결과가 '매우높음' 등급인 경우, 해당 항공사에 즉시 호출부호 변경을 요청하고 변경 시까지 특별 관제주의를 실시한다.</w:t>
      </w:r>
    </w:p>
    <w:p>
      <w:pPr>
        <w:spacing w:after="100" left="720"/>
      </w:pPr>
      <w:r>
        <w:t xml:space="preserve">다. 평가 결과가 '높음' 등급인 경우, 관제사는 해당 호출부호에 대한 주의를 강화하고 필요 시 항공사에 변경을 권고할 수 있다.</w:t>
      </w:r>
    </w:p>
    <w:p>
      <w:pPr>
        <w:spacing w:after="100" left="720"/>
      </w:pPr>
      <w:r>
        <w:t xml:space="preserve">라. 관제량과 공존시간은 시간대별, 섹터별로 변동하므로, 주기적으로 재평가하여 위험도 변화를 모니터링한다.</w:t>
      </w:r>
    </w:p>
    <w:p>
      <w:pPr>
        <w:spacing w:after="100" left="720"/>
      </w:pPr>
      <w:r>
        <w:t xml:space="preserve">마. 유사도점수가 높더라도 관제량과 공존시간이 낮으면 전체 위험도가 낮아질 수 있으나, 유사도가 매우높음인 경우에는 각별한 주의가 필요하다.</w:t>
      </w:r>
    </w:p>
    <w:p>
      <w:pPr>
        <w:spacing w:after="300" left="720"/>
      </w:pPr>
      <w:r>
        <w:t xml:space="preserve">바. 본 평가 기준은 데이터 분석 결과를 바탕으로 설정되었으며, 향후 운영 실적에 따라 조정될 수 있다.</w:t>
      </w:r>
    </w:p>
    <w:p>
      <w:pPr>
        <w:spacing w:before="400" w:after="100"/>
        <w:jc w:val="center"/>
      </w:pPr>
      <w:r>
        <w:rPr>
          <w:b/>
          <w:bCs/>
          <w:sz w:val="24"/>
          <w:szCs w:val="24"/>
        </w:rPr>
        <w:t xml:space="preserve">부    칙</w:t>
      </w:r>
    </w:p>
    <w:p>
      <w:pPr>
        <w:jc w:val="center"/>
      </w:pPr>
      <w:r>
        <w:t xml:space="preserve">본 매뉴얼은 2026년 2월 8일부터 시행한다.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2026-02-08T01:36:07.061Z</dcterms:created>
  <dcterms:modified xsi:type="dcterms:W3CDTF">2026-02-08T01:36:07.063Z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